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shd w:val="clear" w:color="auto" w:fill="1D73D6"/>
        <w:tblLook w:val="0000" w:firstRow="0" w:lastRow="0" w:firstColumn="0" w:lastColumn="0" w:noHBand="0" w:noVBand="0"/>
      </w:tblPr>
      <w:tblGrid>
        <w:gridCol w:w="8122"/>
        <w:gridCol w:w="1238"/>
      </w:tblGrid>
      <w:tr w:rsidR="00FB5836" w:rsidRPr="00C7263A" w14:paraId="7996A0B7" w14:textId="77777777" w:rsidTr="0087372C">
        <w:tblPrEx>
          <w:tblCellMar>
            <w:top w:w="0" w:type="dxa"/>
            <w:bottom w:w="0" w:type="dxa"/>
          </w:tblCellMar>
        </w:tblPrEx>
        <w:trPr>
          <w:cantSplit/>
        </w:trPr>
        <w:tc>
          <w:tcPr>
            <w:tcW w:w="8122" w:type="dxa"/>
            <w:shd w:val="clear" w:color="auto" w:fill="1D73D6"/>
          </w:tcPr>
          <w:p w14:paraId="6112B99D" w14:textId="77777777" w:rsidR="00FB5836" w:rsidRPr="00C7263A" w:rsidRDefault="003F4D95" w:rsidP="00EC5C26">
            <w:pPr>
              <w:pStyle w:val="cTOCHead"/>
            </w:pPr>
            <w:bookmarkStart w:id="0" w:name="_Hlk534894629"/>
            <w:r w:rsidRPr="00C7263A">
              <w:t xml:space="preserve">section II - </w:t>
            </w:r>
            <w:r w:rsidR="00FB5836" w:rsidRPr="00C7263A">
              <w:t>patient centered medical home (pcmh)</w:t>
            </w:r>
          </w:p>
          <w:p w14:paraId="26679953" w14:textId="77777777" w:rsidR="00FB5836" w:rsidRPr="00C7263A" w:rsidRDefault="00FB5836" w:rsidP="00EC5C26">
            <w:pPr>
              <w:pStyle w:val="cTOCHead"/>
            </w:pPr>
            <w:r w:rsidRPr="00C7263A">
              <w:t>Contents</w:t>
            </w:r>
          </w:p>
        </w:tc>
        <w:tc>
          <w:tcPr>
            <w:tcW w:w="1238" w:type="dxa"/>
            <w:shd w:val="clear" w:color="auto" w:fill="1D73D6"/>
            <w:vAlign w:val="center"/>
          </w:tcPr>
          <w:p w14:paraId="6F71BE18" w14:textId="77777777" w:rsidR="00FB5836" w:rsidRPr="00C7263A" w:rsidRDefault="00FB5836" w:rsidP="00EC5C26">
            <w:pPr>
              <w:pStyle w:val="cDate1"/>
              <w:rPr>
                <w:bCs/>
              </w:rPr>
            </w:pPr>
          </w:p>
        </w:tc>
      </w:tr>
    </w:tbl>
    <w:bookmarkStart w:id="1" w:name="_Hlk199243665"/>
    <w:p w14:paraId="5C2C3C0F" w14:textId="5A898D5A" w:rsidR="001A34DB" w:rsidRDefault="006E40B6">
      <w:pPr>
        <w:pStyle w:val="TOC1"/>
        <w:rPr>
          <w:rFonts w:asciiTheme="minorHAnsi" w:eastAsiaTheme="minorEastAsia" w:hAnsiTheme="minorHAnsi" w:cstheme="minorBidi"/>
          <w:b w:val="0"/>
          <w:caps w:val="0"/>
          <w:color w:val="auto"/>
          <w:kern w:val="2"/>
          <w:sz w:val="24"/>
          <w:szCs w:val="24"/>
          <w14:ligatures w14:val="standardContextual"/>
        </w:rPr>
      </w:pPr>
      <w:r w:rsidRPr="00C7263A">
        <w:fldChar w:fldCharType="begin"/>
      </w:r>
      <w:r w:rsidRPr="00C7263A">
        <w:instrText xml:space="preserve"> TOC \o "1-9" \n \h \z \t "chead1,1,chead2,2" </w:instrText>
      </w:r>
      <w:r w:rsidRPr="00C7263A">
        <w:fldChar w:fldCharType="separate"/>
      </w:r>
      <w:hyperlink w:anchor="_Toc199244413" w:history="1">
        <w:r w:rsidR="001A34DB" w:rsidRPr="003438EA">
          <w:rPr>
            <w:rStyle w:val="Hyperlink"/>
          </w:rPr>
          <w:t>200.000</w:t>
        </w:r>
        <w:r w:rsidR="001A34DB">
          <w:rPr>
            <w:rFonts w:asciiTheme="minorHAnsi" w:eastAsiaTheme="minorEastAsia" w:hAnsiTheme="minorHAnsi" w:cstheme="minorBidi"/>
            <w:b w:val="0"/>
            <w:caps w:val="0"/>
            <w:color w:val="auto"/>
            <w:kern w:val="2"/>
            <w:sz w:val="24"/>
            <w:szCs w:val="24"/>
            <w14:ligatures w14:val="standardContextual"/>
          </w:rPr>
          <w:tab/>
        </w:r>
        <w:r w:rsidR="001A34DB" w:rsidRPr="003438EA">
          <w:rPr>
            <w:rStyle w:val="Hyperlink"/>
          </w:rPr>
          <w:t>definitions</w:t>
        </w:r>
      </w:hyperlink>
    </w:p>
    <w:p w14:paraId="2809018A" w14:textId="32728DBC" w:rsidR="001A34DB" w:rsidRDefault="001A34DB">
      <w:pPr>
        <w:pStyle w:val="TOC1"/>
        <w:rPr>
          <w:rFonts w:asciiTheme="minorHAnsi" w:eastAsiaTheme="minorEastAsia" w:hAnsiTheme="minorHAnsi" w:cstheme="minorBidi"/>
          <w:b w:val="0"/>
          <w:caps w:val="0"/>
          <w:color w:val="auto"/>
          <w:kern w:val="2"/>
          <w:sz w:val="24"/>
          <w:szCs w:val="24"/>
          <w14:ligatures w14:val="standardContextual"/>
        </w:rPr>
      </w:pPr>
      <w:hyperlink w:anchor="_Toc199244414" w:history="1">
        <w:r w:rsidRPr="003438EA">
          <w:rPr>
            <w:rStyle w:val="Hyperlink"/>
          </w:rPr>
          <w:t>210.000</w:t>
        </w:r>
        <w:r>
          <w:rPr>
            <w:rFonts w:asciiTheme="minorHAnsi" w:eastAsiaTheme="minorEastAsia" w:hAnsiTheme="minorHAnsi" w:cstheme="minorBidi"/>
            <w:b w:val="0"/>
            <w:caps w:val="0"/>
            <w:color w:val="auto"/>
            <w:kern w:val="2"/>
            <w:sz w:val="24"/>
            <w:szCs w:val="24"/>
            <w14:ligatures w14:val="standardContextual"/>
          </w:rPr>
          <w:tab/>
        </w:r>
        <w:r w:rsidRPr="003438EA">
          <w:rPr>
            <w:rStyle w:val="Hyperlink"/>
          </w:rPr>
          <w:t>enrollment and caseload management</w:t>
        </w:r>
      </w:hyperlink>
    </w:p>
    <w:p w14:paraId="7C8CC8CC" w14:textId="7142EF3F" w:rsidR="001A34DB" w:rsidRDefault="001A34DB">
      <w:pPr>
        <w:pStyle w:val="TOC2"/>
        <w:rPr>
          <w:rFonts w:asciiTheme="minorHAnsi" w:eastAsiaTheme="minorEastAsia" w:hAnsiTheme="minorHAnsi" w:cstheme="minorBidi"/>
          <w:kern w:val="2"/>
          <w:sz w:val="24"/>
          <w:szCs w:val="24"/>
          <w14:ligatures w14:val="standardContextual"/>
        </w:rPr>
      </w:pPr>
      <w:hyperlink w:anchor="_Toc199244415" w:history="1">
        <w:r w:rsidRPr="003438EA">
          <w:rPr>
            <w:rStyle w:val="Hyperlink"/>
          </w:rPr>
          <w:t>211.000</w:t>
        </w:r>
        <w:r>
          <w:rPr>
            <w:rFonts w:asciiTheme="minorHAnsi" w:eastAsiaTheme="minorEastAsia" w:hAnsiTheme="minorHAnsi" w:cstheme="minorBidi"/>
            <w:kern w:val="2"/>
            <w:sz w:val="24"/>
            <w:szCs w:val="24"/>
            <w14:ligatures w14:val="standardContextual"/>
          </w:rPr>
          <w:tab/>
        </w:r>
        <w:r w:rsidRPr="003438EA">
          <w:rPr>
            <w:rStyle w:val="Hyperlink"/>
          </w:rPr>
          <w:t>Enrollment Eligibility</w:t>
        </w:r>
      </w:hyperlink>
    </w:p>
    <w:p w14:paraId="400026C1" w14:textId="6D6E9596" w:rsidR="001A34DB" w:rsidRDefault="001A34DB">
      <w:pPr>
        <w:pStyle w:val="TOC2"/>
        <w:rPr>
          <w:rFonts w:asciiTheme="minorHAnsi" w:eastAsiaTheme="minorEastAsia" w:hAnsiTheme="minorHAnsi" w:cstheme="minorBidi"/>
          <w:kern w:val="2"/>
          <w:sz w:val="24"/>
          <w:szCs w:val="24"/>
          <w14:ligatures w14:val="standardContextual"/>
        </w:rPr>
      </w:pPr>
      <w:hyperlink w:anchor="_Toc199244416" w:history="1">
        <w:r w:rsidRPr="003438EA">
          <w:rPr>
            <w:rStyle w:val="Hyperlink"/>
          </w:rPr>
          <w:t>212.000</w:t>
        </w:r>
        <w:r>
          <w:rPr>
            <w:rFonts w:asciiTheme="minorHAnsi" w:eastAsiaTheme="minorEastAsia" w:hAnsiTheme="minorHAnsi" w:cstheme="minorBidi"/>
            <w:kern w:val="2"/>
            <w:sz w:val="24"/>
            <w:szCs w:val="24"/>
            <w14:ligatures w14:val="standardContextual"/>
          </w:rPr>
          <w:tab/>
        </w:r>
        <w:r w:rsidRPr="003438EA">
          <w:rPr>
            <w:rStyle w:val="Hyperlink"/>
          </w:rPr>
          <w:t>Practice Enrollment</w:t>
        </w:r>
      </w:hyperlink>
    </w:p>
    <w:p w14:paraId="60DBA2A3" w14:textId="740983DB" w:rsidR="001A34DB" w:rsidRDefault="001A34DB">
      <w:pPr>
        <w:pStyle w:val="TOC2"/>
        <w:rPr>
          <w:rFonts w:asciiTheme="minorHAnsi" w:eastAsiaTheme="minorEastAsia" w:hAnsiTheme="minorHAnsi" w:cstheme="minorBidi"/>
          <w:kern w:val="2"/>
          <w:sz w:val="24"/>
          <w:szCs w:val="24"/>
          <w14:ligatures w14:val="standardContextual"/>
        </w:rPr>
      </w:pPr>
      <w:hyperlink w:anchor="_Toc199244417" w:history="1">
        <w:r w:rsidRPr="003438EA">
          <w:rPr>
            <w:rStyle w:val="Hyperlink"/>
          </w:rPr>
          <w:t>213.000</w:t>
        </w:r>
        <w:r>
          <w:rPr>
            <w:rFonts w:asciiTheme="minorHAnsi" w:eastAsiaTheme="minorEastAsia" w:hAnsiTheme="minorHAnsi" w:cstheme="minorBidi"/>
            <w:kern w:val="2"/>
            <w:sz w:val="24"/>
            <w:szCs w:val="24"/>
            <w14:ligatures w14:val="standardContextual"/>
          </w:rPr>
          <w:tab/>
        </w:r>
        <w:r w:rsidRPr="003438EA">
          <w:rPr>
            <w:rStyle w:val="Hyperlink"/>
          </w:rPr>
          <w:t>Enrollment Schedule</w:t>
        </w:r>
      </w:hyperlink>
    </w:p>
    <w:p w14:paraId="64FB2FF6" w14:textId="25A4F6EE" w:rsidR="001A34DB" w:rsidRDefault="001A34DB">
      <w:pPr>
        <w:pStyle w:val="TOC2"/>
        <w:rPr>
          <w:rFonts w:asciiTheme="minorHAnsi" w:eastAsiaTheme="minorEastAsia" w:hAnsiTheme="minorHAnsi" w:cstheme="minorBidi"/>
          <w:kern w:val="2"/>
          <w:sz w:val="24"/>
          <w:szCs w:val="24"/>
          <w14:ligatures w14:val="standardContextual"/>
        </w:rPr>
      </w:pPr>
      <w:hyperlink w:anchor="_Toc199244418" w:history="1">
        <w:r w:rsidRPr="003438EA">
          <w:rPr>
            <w:rStyle w:val="Hyperlink"/>
          </w:rPr>
          <w:t>214.000</w:t>
        </w:r>
        <w:r>
          <w:rPr>
            <w:rFonts w:asciiTheme="minorHAnsi" w:eastAsiaTheme="minorEastAsia" w:hAnsiTheme="minorHAnsi" w:cstheme="minorBidi"/>
            <w:kern w:val="2"/>
            <w:sz w:val="24"/>
            <w:szCs w:val="24"/>
            <w14:ligatures w14:val="standardContextual"/>
          </w:rPr>
          <w:tab/>
        </w:r>
        <w:r w:rsidRPr="003438EA">
          <w:rPr>
            <w:rStyle w:val="Hyperlink"/>
          </w:rPr>
          <w:t>Caseload Management</w:t>
        </w:r>
      </w:hyperlink>
    </w:p>
    <w:p w14:paraId="136BEE06" w14:textId="10DB1C81" w:rsidR="001A34DB" w:rsidRDefault="001A34DB">
      <w:pPr>
        <w:pStyle w:val="TOC1"/>
        <w:rPr>
          <w:rFonts w:asciiTheme="minorHAnsi" w:eastAsiaTheme="minorEastAsia" w:hAnsiTheme="minorHAnsi" w:cstheme="minorBidi"/>
          <w:b w:val="0"/>
          <w:caps w:val="0"/>
          <w:color w:val="auto"/>
          <w:kern w:val="2"/>
          <w:sz w:val="24"/>
          <w:szCs w:val="24"/>
          <w14:ligatures w14:val="standardContextual"/>
        </w:rPr>
      </w:pPr>
      <w:hyperlink w:anchor="_Toc199244419" w:history="1">
        <w:r w:rsidRPr="003438EA">
          <w:rPr>
            <w:rStyle w:val="Hyperlink"/>
          </w:rPr>
          <w:t>220.000</w:t>
        </w:r>
        <w:r>
          <w:rPr>
            <w:rFonts w:asciiTheme="minorHAnsi" w:eastAsiaTheme="minorEastAsia" w:hAnsiTheme="minorHAnsi" w:cstheme="minorBidi"/>
            <w:b w:val="0"/>
            <w:caps w:val="0"/>
            <w:color w:val="auto"/>
            <w:kern w:val="2"/>
            <w:sz w:val="24"/>
            <w:szCs w:val="24"/>
            <w14:ligatures w14:val="standardContextual"/>
          </w:rPr>
          <w:tab/>
        </w:r>
        <w:r w:rsidRPr="003438EA">
          <w:rPr>
            <w:rStyle w:val="Hyperlink"/>
          </w:rPr>
          <w:t>practice support</w:t>
        </w:r>
      </w:hyperlink>
    </w:p>
    <w:p w14:paraId="2E97271C" w14:textId="18CD345C" w:rsidR="001A34DB" w:rsidRDefault="001A34DB">
      <w:pPr>
        <w:pStyle w:val="TOC2"/>
        <w:rPr>
          <w:rFonts w:asciiTheme="minorHAnsi" w:eastAsiaTheme="minorEastAsia" w:hAnsiTheme="minorHAnsi" w:cstheme="minorBidi"/>
          <w:kern w:val="2"/>
          <w:sz w:val="24"/>
          <w:szCs w:val="24"/>
          <w14:ligatures w14:val="standardContextual"/>
        </w:rPr>
      </w:pPr>
      <w:hyperlink w:anchor="_Toc199244420" w:history="1">
        <w:r w:rsidRPr="003438EA">
          <w:rPr>
            <w:rStyle w:val="Hyperlink"/>
          </w:rPr>
          <w:t>221.000</w:t>
        </w:r>
        <w:r>
          <w:rPr>
            <w:rFonts w:asciiTheme="minorHAnsi" w:eastAsiaTheme="minorEastAsia" w:hAnsiTheme="minorHAnsi" w:cstheme="minorBidi"/>
            <w:kern w:val="2"/>
            <w:sz w:val="24"/>
            <w:szCs w:val="24"/>
            <w14:ligatures w14:val="standardContextual"/>
          </w:rPr>
          <w:tab/>
        </w:r>
        <w:r w:rsidRPr="003438EA">
          <w:rPr>
            <w:rStyle w:val="Hyperlink"/>
          </w:rPr>
          <w:t>Practice Support Scope</w:t>
        </w:r>
      </w:hyperlink>
    </w:p>
    <w:p w14:paraId="77C42939" w14:textId="29952840" w:rsidR="001A34DB" w:rsidRDefault="001A34DB">
      <w:pPr>
        <w:pStyle w:val="TOC2"/>
        <w:rPr>
          <w:rFonts w:asciiTheme="minorHAnsi" w:eastAsiaTheme="minorEastAsia" w:hAnsiTheme="minorHAnsi" w:cstheme="minorBidi"/>
          <w:kern w:val="2"/>
          <w:sz w:val="24"/>
          <w:szCs w:val="24"/>
          <w14:ligatures w14:val="standardContextual"/>
        </w:rPr>
      </w:pPr>
      <w:hyperlink w:anchor="_Toc199244421" w:history="1">
        <w:r w:rsidRPr="003438EA">
          <w:rPr>
            <w:rStyle w:val="Hyperlink"/>
          </w:rPr>
          <w:t>222.000</w:t>
        </w:r>
        <w:r>
          <w:rPr>
            <w:rFonts w:asciiTheme="minorHAnsi" w:eastAsiaTheme="minorEastAsia" w:hAnsiTheme="minorHAnsi" w:cstheme="minorBidi"/>
            <w:kern w:val="2"/>
            <w:sz w:val="24"/>
            <w:szCs w:val="24"/>
            <w14:ligatures w14:val="standardContextual"/>
          </w:rPr>
          <w:tab/>
        </w:r>
        <w:r w:rsidRPr="003438EA">
          <w:rPr>
            <w:rStyle w:val="Hyperlink"/>
          </w:rPr>
          <w:t>Practice Support Eligibility</w:t>
        </w:r>
      </w:hyperlink>
    </w:p>
    <w:p w14:paraId="3B6E578F" w14:textId="614EB3CC" w:rsidR="001A34DB" w:rsidRDefault="001A34DB">
      <w:pPr>
        <w:pStyle w:val="TOC2"/>
        <w:rPr>
          <w:rFonts w:asciiTheme="minorHAnsi" w:eastAsiaTheme="minorEastAsia" w:hAnsiTheme="minorHAnsi" w:cstheme="minorBidi"/>
          <w:kern w:val="2"/>
          <w:sz w:val="24"/>
          <w:szCs w:val="24"/>
          <w14:ligatures w14:val="standardContextual"/>
        </w:rPr>
      </w:pPr>
      <w:hyperlink w:anchor="_Toc199244422" w:history="1">
        <w:r w:rsidRPr="003438EA">
          <w:rPr>
            <w:rStyle w:val="Hyperlink"/>
          </w:rPr>
          <w:t>223.000</w:t>
        </w:r>
        <w:r>
          <w:rPr>
            <w:rFonts w:asciiTheme="minorHAnsi" w:eastAsiaTheme="minorEastAsia" w:hAnsiTheme="minorHAnsi" w:cstheme="minorBidi"/>
            <w:kern w:val="2"/>
            <w:sz w:val="24"/>
            <w:szCs w:val="24"/>
            <w14:ligatures w14:val="standardContextual"/>
          </w:rPr>
          <w:tab/>
        </w:r>
        <w:r w:rsidRPr="003438EA">
          <w:rPr>
            <w:rStyle w:val="Hyperlink"/>
          </w:rPr>
          <w:t>Care Coordination Payment Amount</w:t>
        </w:r>
      </w:hyperlink>
    </w:p>
    <w:p w14:paraId="1321D980" w14:textId="7B153713" w:rsidR="001A34DB" w:rsidRDefault="001A34DB">
      <w:pPr>
        <w:pStyle w:val="TOC1"/>
        <w:rPr>
          <w:rFonts w:asciiTheme="minorHAnsi" w:eastAsiaTheme="minorEastAsia" w:hAnsiTheme="minorHAnsi" w:cstheme="minorBidi"/>
          <w:b w:val="0"/>
          <w:caps w:val="0"/>
          <w:color w:val="auto"/>
          <w:kern w:val="2"/>
          <w:sz w:val="24"/>
          <w:szCs w:val="24"/>
          <w14:ligatures w14:val="standardContextual"/>
        </w:rPr>
      </w:pPr>
      <w:hyperlink w:anchor="_Toc199244423" w:history="1">
        <w:r w:rsidRPr="003438EA">
          <w:rPr>
            <w:rStyle w:val="Hyperlink"/>
          </w:rPr>
          <w:t>230.000</w:t>
        </w:r>
        <w:r>
          <w:rPr>
            <w:rFonts w:asciiTheme="minorHAnsi" w:eastAsiaTheme="minorEastAsia" w:hAnsiTheme="minorHAnsi" w:cstheme="minorBidi"/>
            <w:b w:val="0"/>
            <w:caps w:val="0"/>
            <w:color w:val="auto"/>
            <w:kern w:val="2"/>
            <w:sz w:val="24"/>
            <w:szCs w:val="24"/>
            <w14:ligatures w14:val="standardContextual"/>
          </w:rPr>
          <w:tab/>
        </w:r>
        <w:r w:rsidRPr="003438EA">
          <w:rPr>
            <w:rStyle w:val="Hyperlink"/>
          </w:rPr>
          <w:t>Performance-based incentive payments (PBIP)</w:t>
        </w:r>
      </w:hyperlink>
    </w:p>
    <w:p w14:paraId="14A1C118" w14:textId="1E3259AB" w:rsidR="001A34DB" w:rsidRDefault="001A34DB">
      <w:pPr>
        <w:pStyle w:val="TOC2"/>
        <w:rPr>
          <w:rFonts w:asciiTheme="minorHAnsi" w:eastAsiaTheme="minorEastAsia" w:hAnsiTheme="minorHAnsi" w:cstheme="minorBidi"/>
          <w:kern w:val="2"/>
          <w:sz w:val="24"/>
          <w:szCs w:val="24"/>
          <w14:ligatures w14:val="standardContextual"/>
        </w:rPr>
      </w:pPr>
      <w:hyperlink w:anchor="_Toc199244424" w:history="1">
        <w:r w:rsidRPr="003438EA">
          <w:rPr>
            <w:rStyle w:val="Hyperlink"/>
          </w:rPr>
          <w:t>231.000</w:t>
        </w:r>
        <w:r>
          <w:rPr>
            <w:rFonts w:asciiTheme="minorHAnsi" w:eastAsiaTheme="minorEastAsia" w:hAnsiTheme="minorHAnsi" w:cstheme="minorBidi"/>
            <w:kern w:val="2"/>
            <w:sz w:val="24"/>
            <w:szCs w:val="24"/>
            <w14:ligatures w14:val="standardContextual"/>
          </w:rPr>
          <w:tab/>
        </w:r>
        <w:r w:rsidRPr="003438EA">
          <w:rPr>
            <w:rStyle w:val="Hyperlink"/>
          </w:rPr>
          <w:t>Performance-Based Incentive Payments</w:t>
        </w:r>
      </w:hyperlink>
    </w:p>
    <w:p w14:paraId="1C797509" w14:textId="7111C214" w:rsidR="001A34DB" w:rsidRDefault="001A34DB">
      <w:pPr>
        <w:pStyle w:val="TOC2"/>
        <w:rPr>
          <w:rFonts w:asciiTheme="minorHAnsi" w:eastAsiaTheme="minorEastAsia" w:hAnsiTheme="minorHAnsi" w:cstheme="minorBidi"/>
          <w:kern w:val="2"/>
          <w:sz w:val="24"/>
          <w:szCs w:val="24"/>
          <w14:ligatures w14:val="standardContextual"/>
        </w:rPr>
      </w:pPr>
      <w:hyperlink w:anchor="_Toc199244425" w:history="1">
        <w:r w:rsidRPr="003438EA">
          <w:rPr>
            <w:rStyle w:val="Hyperlink"/>
          </w:rPr>
          <w:t>232.000</w:t>
        </w:r>
        <w:r>
          <w:rPr>
            <w:rFonts w:asciiTheme="minorHAnsi" w:eastAsiaTheme="minorEastAsia" w:hAnsiTheme="minorHAnsi" w:cstheme="minorBidi"/>
            <w:kern w:val="2"/>
            <w:sz w:val="24"/>
            <w:szCs w:val="24"/>
            <w14:ligatures w14:val="standardContextual"/>
          </w:rPr>
          <w:tab/>
        </w:r>
        <w:r w:rsidRPr="003438EA">
          <w:rPr>
            <w:rStyle w:val="Hyperlink"/>
          </w:rPr>
          <w:t>Performance-Based Incentive Payments Eligibility</w:t>
        </w:r>
      </w:hyperlink>
    </w:p>
    <w:p w14:paraId="7A8BA066" w14:textId="6F2D96C5" w:rsidR="001A34DB" w:rsidRDefault="001A34DB">
      <w:pPr>
        <w:pStyle w:val="TOC2"/>
        <w:rPr>
          <w:rFonts w:asciiTheme="minorHAnsi" w:eastAsiaTheme="minorEastAsia" w:hAnsiTheme="minorHAnsi" w:cstheme="minorBidi"/>
          <w:kern w:val="2"/>
          <w:sz w:val="24"/>
          <w:szCs w:val="24"/>
          <w14:ligatures w14:val="standardContextual"/>
        </w:rPr>
      </w:pPr>
      <w:hyperlink w:anchor="_Toc199244426" w:history="1">
        <w:r w:rsidRPr="003438EA">
          <w:rPr>
            <w:rStyle w:val="Hyperlink"/>
          </w:rPr>
          <w:t>233.000</w:t>
        </w:r>
        <w:r>
          <w:rPr>
            <w:rFonts w:asciiTheme="minorHAnsi" w:eastAsiaTheme="minorEastAsia" w:hAnsiTheme="minorHAnsi" w:cstheme="minorBidi"/>
            <w:kern w:val="2"/>
            <w:sz w:val="24"/>
            <w:szCs w:val="24"/>
            <w14:ligatures w14:val="standardContextual"/>
          </w:rPr>
          <w:tab/>
        </w:r>
        <w:r w:rsidRPr="003438EA">
          <w:rPr>
            <w:rStyle w:val="Hyperlink"/>
          </w:rPr>
          <w:t>Pools of Attributed Beneficiaries</w:t>
        </w:r>
      </w:hyperlink>
    </w:p>
    <w:p w14:paraId="599569DB" w14:textId="26B544CD" w:rsidR="001A34DB" w:rsidRDefault="001A34DB">
      <w:pPr>
        <w:pStyle w:val="TOC2"/>
        <w:rPr>
          <w:rFonts w:asciiTheme="minorHAnsi" w:eastAsiaTheme="minorEastAsia" w:hAnsiTheme="minorHAnsi" w:cstheme="minorBidi"/>
          <w:kern w:val="2"/>
          <w:sz w:val="24"/>
          <w:szCs w:val="24"/>
          <w14:ligatures w14:val="standardContextual"/>
        </w:rPr>
      </w:pPr>
      <w:hyperlink w:anchor="_Toc199244427" w:history="1">
        <w:r w:rsidRPr="003438EA">
          <w:rPr>
            <w:rStyle w:val="Hyperlink"/>
          </w:rPr>
          <w:t>234.000</w:t>
        </w:r>
        <w:r>
          <w:rPr>
            <w:rFonts w:asciiTheme="minorHAnsi" w:eastAsiaTheme="minorEastAsia" w:hAnsiTheme="minorHAnsi" w:cstheme="minorBidi"/>
            <w:kern w:val="2"/>
            <w:sz w:val="24"/>
            <w:szCs w:val="24"/>
            <w14:ligatures w14:val="standardContextual"/>
          </w:rPr>
          <w:tab/>
        </w:r>
        <w:r w:rsidRPr="003438EA">
          <w:rPr>
            <w:rStyle w:val="Hyperlink"/>
          </w:rPr>
          <w:t>Requirements for Joining and Leaving Pools</w:t>
        </w:r>
      </w:hyperlink>
    </w:p>
    <w:p w14:paraId="540AD9B0" w14:textId="60371540" w:rsidR="001A34DB" w:rsidRDefault="001A34DB">
      <w:pPr>
        <w:pStyle w:val="TOC2"/>
        <w:rPr>
          <w:rFonts w:asciiTheme="minorHAnsi" w:eastAsiaTheme="minorEastAsia" w:hAnsiTheme="minorHAnsi" w:cstheme="minorBidi"/>
          <w:kern w:val="2"/>
          <w:sz w:val="24"/>
          <w:szCs w:val="24"/>
          <w14:ligatures w14:val="standardContextual"/>
        </w:rPr>
      </w:pPr>
      <w:hyperlink w:anchor="_Toc199244428" w:history="1">
        <w:r w:rsidRPr="003438EA">
          <w:rPr>
            <w:rStyle w:val="Hyperlink"/>
          </w:rPr>
          <w:t>235.000</w:t>
        </w:r>
        <w:r>
          <w:rPr>
            <w:rFonts w:asciiTheme="minorHAnsi" w:eastAsiaTheme="minorEastAsia" w:hAnsiTheme="minorHAnsi" w:cstheme="minorBidi"/>
            <w:kern w:val="2"/>
            <w:sz w:val="24"/>
            <w:szCs w:val="24"/>
            <w14:ligatures w14:val="standardContextual"/>
          </w:rPr>
          <w:tab/>
        </w:r>
        <w:r w:rsidRPr="003438EA">
          <w:rPr>
            <w:rStyle w:val="Hyperlink"/>
          </w:rPr>
          <w:t>Performance-Based Incentive Payment (PBIP) Methodology</w:t>
        </w:r>
      </w:hyperlink>
    </w:p>
    <w:p w14:paraId="3F4E1AB1" w14:textId="2759328E" w:rsidR="001A34DB" w:rsidRDefault="001A34DB">
      <w:pPr>
        <w:pStyle w:val="TOC2"/>
        <w:rPr>
          <w:rFonts w:asciiTheme="minorHAnsi" w:eastAsiaTheme="minorEastAsia" w:hAnsiTheme="minorHAnsi" w:cstheme="minorBidi"/>
          <w:kern w:val="2"/>
          <w:sz w:val="24"/>
          <w:szCs w:val="24"/>
          <w14:ligatures w14:val="standardContextual"/>
        </w:rPr>
      </w:pPr>
      <w:hyperlink w:anchor="_Toc199244429" w:history="1">
        <w:r w:rsidRPr="003438EA">
          <w:rPr>
            <w:rStyle w:val="Hyperlink"/>
          </w:rPr>
          <w:t>236.000</w:t>
        </w:r>
        <w:r>
          <w:rPr>
            <w:rFonts w:asciiTheme="minorHAnsi" w:eastAsiaTheme="minorEastAsia" w:hAnsiTheme="minorHAnsi" w:cstheme="minorBidi"/>
            <w:kern w:val="2"/>
            <w:sz w:val="24"/>
            <w:szCs w:val="24"/>
            <w14:ligatures w14:val="standardContextual"/>
          </w:rPr>
          <w:tab/>
        </w:r>
        <w:r w:rsidRPr="003438EA">
          <w:rPr>
            <w:rStyle w:val="Hyperlink"/>
          </w:rPr>
          <w:t>Focus Measure</w:t>
        </w:r>
      </w:hyperlink>
    </w:p>
    <w:p w14:paraId="3262C567" w14:textId="12E896F5" w:rsidR="001A34DB" w:rsidRDefault="001A34DB">
      <w:pPr>
        <w:pStyle w:val="TOC2"/>
        <w:rPr>
          <w:rFonts w:asciiTheme="minorHAnsi" w:eastAsiaTheme="minorEastAsia" w:hAnsiTheme="minorHAnsi" w:cstheme="minorBidi"/>
          <w:kern w:val="2"/>
          <w:sz w:val="24"/>
          <w:szCs w:val="24"/>
          <w14:ligatures w14:val="standardContextual"/>
        </w:rPr>
      </w:pPr>
      <w:hyperlink w:anchor="_Toc199244430" w:history="1">
        <w:r w:rsidRPr="003438EA">
          <w:rPr>
            <w:rStyle w:val="Hyperlink"/>
          </w:rPr>
          <w:t>237.000</w:t>
        </w:r>
        <w:r>
          <w:rPr>
            <w:rFonts w:asciiTheme="minorHAnsi" w:eastAsiaTheme="minorEastAsia" w:hAnsiTheme="minorHAnsi" w:cstheme="minorBidi"/>
            <w:kern w:val="2"/>
            <w:sz w:val="24"/>
            <w:szCs w:val="24"/>
            <w14:ligatures w14:val="standardContextual"/>
          </w:rPr>
          <w:tab/>
        </w:r>
        <w:r w:rsidRPr="003438EA">
          <w:rPr>
            <w:rStyle w:val="Hyperlink"/>
          </w:rPr>
          <w:t>Performance-Based Incentive Payment Amounts</w:t>
        </w:r>
      </w:hyperlink>
    </w:p>
    <w:p w14:paraId="123BD6BD" w14:textId="4A477292" w:rsidR="001A34DB" w:rsidRDefault="001A34DB">
      <w:pPr>
        <w:pStyle w:val="TOC1"/>
        <w:rPr>
          <w:rFonts w:asciiTheme="minorHAnsi" w:eastAsiaTheme="minorEastAsia" w:hAnsiTheme="minorHAnsi" w:cstheme="minorBidi"/>
          <w:b w:val="0"/>
          <w:caps w:val="0"/>
          <w:color w:val="auto"/>
          <w:kern w:val="2"/>
          <w:sz w:val="24"/>
          <w:szCs w:val="24"/>
          <w14:ligatures w14:val="standardContextual"/>
        </w:rPr>
      </w:pPr>
      <w:hyperlink w:anchor="_Toc199244431" w:history="1">
        <w:r w:rsidRPr="003438EA">
          <w:rPr>
            <w:rStyle w:val="Hyperlink"/>
          </w:rPr>
          <w:t>240.000</w:t>
        </w:r>
        <w:r>
          <w:rPr>
            <w:rFonts w:asciiTheme="minorHAnsi" w:eastAsiaTheme="minorEastAsia" w:hAnsiTheme="minorHAnsi" w:cstheme="minorBidi"/>
            <w:b w:val="0"/>
            <w:caps w:val="0"/>
            <w:color w:val="auto"/>
            <w:kern w:val="2"/>
            <w:sz w:val="24"/>
            <w:szCs w:val="24"/>
            <w14:ligatures w14:val="standardContextual"/>
          </w:rPr>
          <w:tab/>
        </w:r>
        <w:r w:rsidRPr="003438EA">
          <w:rPr>
            <w:rStyle w:val="Hyperlink"/>
          </w:rPr>
          <w:t>Metrics and accountability for payment incentives</w:t>
        </w:r>
      </w:hyperlink>
    </w:p>
    <w:p w14:paraId="1CA9CDBB" w14:textId="4067FDDB" w:rsidR="001A34DB" w:rsidRDefault="001A34DB">
      <w:pPr>
        <w:pStyle w:val="TOC2"/>
        <w:rPr>
          <w:rFonts w:asciiTheme="minorHAnsi" w:eastAsiaTheme="minorEastAsia" w:hAnsiTheme="minorHAnsi" w:cstheme="minorBidi"/>
          <w:kern w:val="2"/>
          <w:sz w:val="24"/>
          <w:szCs w:val="24"/>
          <w14:ligatures w14:val="standardContextual"/>
        </w:rPr>
      </w:pPr>
      <w:hyperlink w:anchor="_Toc199244432" w:history="1">
        <w:r w:rsidRPr="003438EA">
          <w:rPr>
            <w:rStyle w:val="Hyperlink"/>
          </w:rPr>
          <w:t>241.000</w:t>
        </w:r>
        <w:r>
          <w:rPr>
            <w:rFonts w:asciiTheme="minorHAnsi" w:eastAsiaTheme="minorEastAsia" w:hAnsiTheme="minorHAnsi" w:cstheme="minorBidi"/>
            <w:kern w:val="2"/>
            <w:sz w:val="24"/>
            <w:szCs w:val="24"/>
            <w14:ligatures w14:val="standardContextual"/>
          </w:rPr>
          <w:tab/>
        </w:r>
        <w:r w:rsidRPr="003438EA">
          <w:rPr>
            <w:rStyle w:val="Hyperlink"/>
          </w:rPr>
          <w:t>Activities Tracked for Practice Support</w:t>
        </w:r>
      </w:hyperlink>
    </w:p>
    <w:p w14:paraId="394633D5" w14:textId="5B3C2D78" w:rsidR="001A34DB" w:rsidRDefault="001A34DB">
      <w:pPr>
        <w:pStyle w:val="TOC2"/>
        <w:rPr>
          <w:rFonts w:asciiTheme="minorHAnsi" w:eastAsiaTheme="minorEastAsia" w:hAnsiTheme="minorHAnsi" w:cstheme="minorBidi"/>
          <w:kern w:val="2"/>
          <w:sz w:val="24"/>
          <w:szCs w:val="24"/>
          <w14:ligatures w14:val="standardContextual"/>
        </w:rPr>
      </w:pPr>
      <w:hyperlink w:anchor="_Toc199244433" w:history="1">
        <w:r w:rsidRPr="003438EA">
          <w:rPr>
            <w:rStyle w:val="Hyperlink"/>
          </w:rPr>
          <w:t>242.000</w:t>
        </w:r>
        <w:r>
          <w:rPr>
            <w:rFonts w:asciiTheme="minorHAnsi" w:eastAsiaTheme="minorEastAsia" w:hAnsiTheme="minorHAnsi" w:cstheme="minorBidi"/>
            <w:kern w:val="2"/>
            <w:sz w:val="24"/>
            <w:szCs w:val="24"/>
            <w14:ligatures w14:val="standardContextual"/>
          </w:rPr>
          <w:tab/>
        </w:r>
        <w:r w:rsidRPr="003438EA">
          <w:rPr>
            <w:rStyle w:val="Hyperlink"/>
          </w:rPr>
          <w:t>Accountability for Practice Support</w:t>
        </w:r>
      </w:hyperlink>
    </w:p>
    <w:p w14:paraId="553F555C" w14:textId="2CC01A7A" w:rsidR="001A34DB" w:rsidRDefault="001A34DB">
      <w:pPr>
        <w:pStyle w:val="TOC2"/>
        <w:rPr>
          <w:rFonts w:asciiTheme="minorHAnsi" w:eastAsiaTheme="minorEastAsia" w:hAnsiTheme="minorHAnsi" w:cstheme="minorBidi"/>
          <w:kern w:val="2"/>
          <w:sz w:val="24"/>
          <w:szCs w:val="24"/>
          <w14:ligatures w14:val="standardContextual"/>
        </w:rPr>
      </w:pPr>
      <w:hyperlink w:anchor="_Toc199244434" w:history="1">
        <w:r w:rsidRPr="003438EA">
          <w:rPr>
            <w:rStyle w:val="Hyperlink"/>
          </w:rPr>
          <w:t>243.000</w:t>
        </w:r>
        <w:r>
          <w:rPr>
            <w:rFonts w:asciiTheme="minorHAnsi" w:eastAsiaTheme="minorEastAsia" w:hAnsiTheme="minorHAnsi" w:cstheme="minorBidi"/>
            <w:kern w:val="2"/>
            <w:sz w:val="24"/>
            <w:szCs w:val="24"/>
            <w14:ligatures w14:val="standardContextual"/>
          </w:rPr>
          <w:tab/>
        </w:r>
        <w:r w:rsidRPr="003438EA">
          <w:rPr>
            <w:rStyle w:val="Hyperlink"/>
          </w:rPr>
          <w:t>Quality Metrics Tracked for Performance-Based Incentive Payments</w:t>
        </w:r>
      </w:hyperlink>
    </w:p>
    <w:p w14:paraId="79BA823C" w14:textId="71047419" w:rsidR="001A34DB" w:rsidRDefault="001A34DB">
      <w:pPr>
        <w:pStyle w:val="TOC2"/>
        <w:rPr>
          <w:rFonts w:asciiTheme="minorHAnsi" w:eastAsiaTheme="minorEastAsia" w:hAnsiTheme="minorHAnsi" w:cstheme="minorBidi"/>
          <w:kern w:val="2"/>
          <w:sz w:val="24"/>
          <w:szCs w:val="24"/>
          <w14:ligatures w14:val="standardContextual"/>
        </w:rPr>
      </w:pPr>
      <w:hyperlink w:anchor="_Toc199244435" w:history="1">
        <w:r w:rsidRPr="003438EA">
          <w:rPr>
            <w:rStyle w:val="Hyperlink"/>
          </w:rPr>
          <w:t>244.000</w:t>
        </w:r>
        <w:r>
          <w:rPr>
            <w:rFonts w:asciiTheme="minorHAnsi" w:eastAsiaTheme="minorEastAsia" w:hAnsiTheme="minorHAnsi" w:cstheme="minorBidi"/>
            <w:kern w:val="2"/>
            <w:sz w:val="24"/>
            <w:szCs w:val="24"/>
            <w14:ligatures w14:val="standardContextual"/>
          </w:rPr>
          <w:tab/>
        </w:r>
        <w:r w:rsidRPr="003438EA">
          <w:rPr>
            <w:rStyle w:val="Hyperlink"/>
          </w:rPr>
          <w:t>Provider Reports</w:t>
        </w:r>
      </w:hyperlink>
    </w:p>
    <w:p w14:paraId="03233382" w14:textId="7C76D29C" w:rsidR="001A34DB" w:rsidRDefault="001A34DB">
      <w:pPr>
        <w:pStyle w:val="TOC2"/>
        <w:rPr>
          <w:rFonts w:asciiTheme="minorHAnsi" w:eastAsiaTheme="minorEastAsia" w:hAnsiTheme="minorHAnsi" w:cstheme="minorBidi"/>
          <w:kern w:val="2"/>
          <w:sz w:val="24"/>
          <w:szCs w:val="24"/>
          <w14:ligatures w14:val="standardContextual"/>
        </w:rPr>
      </w:pPr>
      <w:hyperlink w:anchor="_Toc199244436" w:history="1">
        <w:r w:rsidRPr="003438EA">
          <w:rPr>
            <w:rStyle w:val="Hyperlink"/>
            <w:highlight w:val="yellow"/>
          </w:rPr>
          <w:t>244.100</w:t>
        </w:r>
        <w:r>
          <w:rPr>
            <w:rFonts w:asciiTheme="minorHAnsi" w:eastAsiaTheme="minorEastAsia" w:hAnsiTheme="minorHAnsi" w:cstheme="minorBidi"/>
            <w:kern w:val="2"/>
            <w:sz w:val="24"/>
            <w:szCs w:val="24"/>
            <w14:ligatures w14:val="standardContextual"/>
          </w:rPr>
          <w:tab/>
        </w:r>
        <w:r w:rsidRPr="003438EA">
          <w:rPr>
            <w:rStyle w:val="Hyperlink"/>
            <w:highlight w:val="yellow"/>
          </w:rPr>
          <w:t>Administrative Reconsideration and Appeals</w:t>
        </w:r>
      </w:hyperlink>
    </w:p>
    <w:p w14:paraId="4E43EA69" w14:textId="787BB181" w:rsidR="00FB5836" w:rsidRPr="00C7263A" w:rsidRDefault="006E40B6" w:rsidP="006E40B6">
      <w:pPr>
        <w:pStyle w:val="ctablespace"/>
      </w:pPr>
      <w:r w:rsidRPr="00C7263A">
        <w:fldChar w:fldCharType="end"/>
      </w:r>
      <w:bookmarkEnd w:id="0"/>
    </w:p>
    <w:tbl>
      <w:tblPr>
        <w:tblW w:w="9360" w:type="dxa"/>
        <w:shd w:val="clear" w:color="auto" w:fill="1D73D6"/>
        <w:tblLook w:val="0000" w:firstRow="0" w:lastRow="0" w:firstColumn="0" w:lastColumn="0" w:noHBand="0" w:noVBand="0"/>
      </w:tblPr>
      <w:tblGrid>
        <w:gridCol w:w="8122"/>
        <w:gridCol w:w="1238"/>
      </w:tblGrid>
      <w:tr w:rsidR="00512EFE" w:rsidRPr="00C7263A" w14:paraId="6776700C" w14:textId="77777777" w:rsidTr="008A0F53">
        <w:tblPrEx>
          <w:tblCellMar>
            <w:top w:w="0" w:type="dxa"/>
            <w:bottom w:w="0" w:type="dxa"/>
          </w:tblCellMar>
        </w:tblPrEx>
        <w:trPr>
          <w:cantSplit/>
        </w:trPr>
        <w:tc>
          <w:tcPr>
            <w:tcW w:w="8122" w:type="dxa"/>
            <w:shd w:val="clear" w:color="auto" w:fill="1D73D6"/>
          </w:tcPr>
          <w:p w14:paraId="1E849BE2" w14:textId="77777777" w:rsidR="00512EFE" w:rsidRPr="00C7263A" w:rsidRDefault="00512EFE" w:rsidP="008A0F53">
            <w:pPr>
              <w:pStyle w:val="chead1"/>
              <w:outlineLvl w:val="0"/>
            </w:pPr>
            <w:bookmarkStart w:id="2" w:name="_Toc325539808"/>
            <w:bookmarkStart w:id="3" w:name="_Toc343594122"/>
            <w:bookmarkStart w:id="4" w:name="_Toc199244413"/>
            <w:bookmarkEnd w:id="1"/>
            <w:r w:rsidRPr="00C7263A">
              <w:t>200.000</w:t>
            </w:r>
            <w:r w:rsidRPr="00C7263A">
              <w:tab/>
            </w:r>
            <w:bookmarkEnd w:id="2"/>
            <w:bookmarkEnd w:id="3"/>
            <w:r w:rsidRPr="00C7263A">
              <w:t>definitions</w:t>
            </w:r>
            <w:bookmarkEnd w:id="4"/>
          </w:p>
        </w:tc>
        <w:tc>
          <w:tcPr>
            <w:tcW w:w="1238" w:type="dxa"/>
            <w:shd w:val="clear" w:color="auto" w:fill="1D73D6"/>
            <w:vAlign w:val="center"/>
          </w:tcPr>
          <w:p w14:paraId="605CE97E" w14:textId="77777777" w:rsidR="00512EFE" w:rsidRPr="00C7263A" w:rsidRDefault="00C47A91" w:rsidP="008A0F53">
            <w:pPr>
              <w:pStyle w:val="cDate1"/>
              <w:outlineLvl w:val="0"/>
              <w:rPr>
                <w:bCs/>
              </w:rPr>
            </w:pPr>
            <w:r w:rsidRPr="00C7263A">
              <w:rPr>
                <w:bCs/>
              </w:rPr>
              <w:t>8-1-21</w:t>
            </w:r>
          </w:p>
        </w:tc>
      </w:tr>
    </w:tbl>
    <w:p w14:paraId="45B55E11" w14:textId="77777777" w:rsidR="00512EFE" w:rsidRPr="00C7263A" w:rsidRDefault="00512EFE" w:rsidP="00543105">
      <w:pPr>
        <w:pStyle w:val="ctablespace"/>
      </w:pPr>
    </w:p>
    <w:tbl>
      <w:tblPr>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802"/>
        <w:gridCol w:w="5576"/>
      </w:tblGrid>
      <w:tr w:rsidR="00543105" w:rsidRPr="00C7263A" w14:paraId="2865A7E3" w14:textId="77777777" w:rsidTr="00425513">
        <w:tc>
          <w:tcPr>
            <w:tcW w:w="3802" w:type="dxa"/>
            <w:tcBorders>
              <w:top w:val="single" w:sz="4" w:space="0" w:color="auto"/>
              <w:left w:val="nil"/>
              <w:bottom w:val="single" w:sz="4" w:space="0" w:color="auto"/>
              <w:right w:val="nil"/>
            </w:tcBorders>
            <w:hideMark/>
          </w:tcPr>
          <w:p w14:paraId="59E6869E" w14:textId="77777777" w:rsidR="00543105" w:rsidRPr="00C7263A" w:rsidRDefault="00543105" w:rsidP="00425513">
            <w:pPr>
              <w:pStyle w:val="cTableText"/>
            </w:pPr>
            <w:r w:rsidRPr="00C7263A">
              <w:t>Attributed beneficiaries</w:t>
            </w:r>
          </w:p>
        </w:tc>
        <w:tc>
          <w:tcPr>
            <w:tcW w:w="5576" w:type="dxa"/>
            <w:tcBorders>
              <w:top w:val="single" w:sz="4" w:space="0" w:color="auto"/>
              <w:left w:val="nil"/>
              <w:bottom w:val="single" w:sz="4" w:space="0" w:color="auto"/>
              <w:right w:val="nil"/>
            </w:tcBorders>
            <w:hideMark/>
          </w:tcPr>
          <w:p w14:paraId="7BC7506F" w14:textId="77777777" w:rsidR="00543105" w:rsidRPr="00C7263A" w:rsidRDefault="00543105" w:rsidP="00425513">
            <w:pPr>
              <w:pStyle w:val="cTableText"/>
            </w:pPr>
            <w:r w:rsidRPr="00C7263A">
              <w:t xml:space="preserve">The Medicaid beneficiaries for whom primary care physicians and participating practices have accountability under the PCMH program.  A primary care physician’s attributed beneficiaries are determined by the </w:t>
            </w:r>
            <w:proofErr w:type="spellStart"/>
            <w:r w:rsidRPr="00C7263A">
              <w:t>ConnectCare</w:t>
            </w:r>
            <w:proofErr w:type="spellEnd"/>
            <w:r w:rsidRPr="00C7263A">
              <w:t xml:space="preserve"> Primary Care Case Management (PCCM) program.  Attributed beneficiaries do not include dual eligible beneficiaries.</w:t>
            </w:r>
          </w:p>
        </w:tc>
      </w:tr>
      <w:tr w:rsidR="00543105" w:rsidRPr="00C7263A" w14:paraId="26DA1D56" w14:textId="77777777" w:rsidTr="00425513">
        <w:tc>
          <w:tcPr>
            <w:tcW w:w="3802" w:type="dxa"/>
            <w:tcBorders>
              <w:top w:val="single" w:sz="4" w:space="0" w:color="auto"/>
              <w:left w:val="nil"/>
              <w:bottom w:val="single" w:sz="4" w:space="0" w:color="auto"/>
              <w:right w:val="nil"/>
            </w:tcBorders>
            <w:hideMark/>
          </w:tcPr>
          <w:p w14:paraId="5EE68927" w14:textId="77777777" w:rsidR="00543105" w:rsidRPr="00C7263A" w:rsidRDefault="00543105" w:rsidP="00425513">
            <w:pPr>
              <w:pStyle w:val="cTableText"/>
            </w:pPr>
            <w:r w:rsidRPr="00C7263A">
              <w:t>Attribution</w:t>
            </w:r>
          </w:p>
        </w:tc>
        <w:tc>
          <w:tcPr>
            <w:tcW w:w="5576" w:type="dxa"/>
            <w:tcBorders>
              <w:top w:val="single" w:sz="4" w:space="0" w:color="auto"/>
              <w:left w:val="nil"/>
              <w:bottom w:val="single" w:sz="4" w:space="0" w:color="auto"/>
              <w:right w:val="nil"/>
            </w:tcBorders>
            <w:hideMark/>
          </w:tcPr>
          <w:p w14:paraId="4D288744" w14:textId="77777777" w:rsidR="00543105" w:rsidRPr="00C7263A" w:rsidRDefault="00543105" w:rsidP="00425513">
            <w:pPr>
              <w:pStyle w:val="cTableText"/>
            </w:pPr>
            <w:r w:rsidRPr="00C7263A">
              <w:t>The methodology by which Medicaid determines beneficiaries for whom a participating practice may receive practice support and incentive payments.</w:t>
            </w:r>
          </w:p>
        </w:tc>
      </w:tr>
      <w:tr w:rsidR="00543105" w:rsidRPr="00C7263A" w14:paraId="15D5D468" w14:textId="77777777" w:rsidTr="00425513">
        <w:tc>
          <w:tcPr>
            <w:tcW w:w="3802" w:type="dxa"/>
            <w:tcBorders>
              <w:top w:val="single" w:sz="4" w:space="0" w:color="auto"/>
              <w:left w:val="nil"/>
              <w:bottom w:val="single" w:sz="4" w:space="0" w:color="auto"/>
              <w:right w:val="nil"/>
            </w:tcBorders>
            <w:hideMark/>
          </w:tcPr>
          <w:p w14:paraId="18A439B9" w14:textId="77777777" w:rsidR="00543105" w:rsidRPr="00C7263A" w:rsidRDefault="00543105" w:rsidP="00425513">
            <w:pPr>
              <w:pStyle w:val="cTableText"/>
            </w:pPr>
            <w:r w:rsidRPr="00C7263A">
              <w:t>Care coordination</w:t>
            </w:r>
          </w:p>
        </w:tc>
        <w:tc>
          <w:tcPr>
            <w:tcW w:w="5576" w:type="dxa"/>
            <w:tcBorders>
              <w:top w:val="single" w:sz="4" w:space="0" w:color="auto"/>
              <w:left w:val="nil"/>
              <w:bottom w:val="single" w:sz="4" w:space="0" w:color="auto"/>
              <w:right w:val="nil"/>
            </w:tcBorders>
            <w:hideMark/>
          </w:tcPr>
          <w:p w14:paraId="6F471AA3" w14:textId="77777777" w:rsidR="00543105" w:rsidRPr="00C7263A" w:rsidRDefault="00543105" w:rsidP="00425513">
            <w:pPr>
              <w:pStyle w:val="cTableText"/>
            </w:pPr>
            <w:r w:rsidRPr="00C7263A">
              <w:t>The ongoing work of engaging beneficiaries and organizing their care needs across providers and care settings.</w:t>
            </w:r>
          </w:p>
        </w:tc>
      </w:tr>
      <w:tr w:rsidR="00543105" w:rsidRPr="00C7263A" w14:paraId="1E4522E3" w14:textId="77777777" w:rsidTr="00425513">
        <w:tc>
          <w:tcPr>
            <w:tcW w:w="3802" w:type="dxa"/>
            <w:tcBorders>
              <w:top w:val="single" w:sz="4" w:space="0" w:color="auto"/>
              <w:left w:val="nil"/>
              <w:bottom w:val="single" w:sz="4" w:space="0" w:color="auto"/>
              <w:right w:val="nil"/>
            </w:tcBorders>
            <w:hideMark/>
          </w:tcPr>
          <w:p w14:paraId="4742508E" w14:textId="77777777" w:rsidR="00543105" w:rsidRPr="00C7263A" w:rsidRDefault="00543105" w:rsidP="00425513">
            <w:pPr>
              <w:pStyle w:val="cTableText"/>
            </w:pPr>
            <w:r w:rsidRPr="00C7263A">
              <w:t>Care coordination payment</w:t>
            </w:r>
          </w:p>
        </w:tc>
        <w:tc>
          <w:tcPr>
            <w:tcW w:w="5576" w:type="dxa"/>
            <w:tcBorders>
              <w:top w:val="single" w:sz="4" w:space="0" w:color="auto"/>
              <w:left w:val="nil"/>
              <w:bottom w:val="single" w:sz="4" w:space="0" w:color="auto"/>
              <w:right w:val="nil"/>
            </w:tcBorders>
            <w:hideMark/>
          </w:tcPr>
          <w:p w14:paraId="561928F5" w14:textId="77777777" w:rsidR="00543105" w:rsidRPr="00C7263A" w:rsidRDefault="00543105" w:rsidP="00425513">
            <w:pPr>
              <w:pStyle w:val="cTableText"/>
            </w:pPr>
            <w:r w:rsidRPr="00C7263A">
              <w:t xml:space="preserve">Quarterly payments </w:t>
            </w:r>
            <w:proofErr w:type="gramStart"/>
            <w:r w:rsidRPr="00C7263A">
              <w:t>made</w:t>
            </w:r>
            <w:proofErr w:type="gramEnd"/>
            <w:r w:rsidRPr="00C7263A">
              <w:t xml:space="preserve"> to </w:t>
            </w:r>
            <w:proofErr w:type="gramStart"/>
            <w:r w:rsidRPr="00C7263A">
              <w:t>participating</w:t>
            </w:r>
            <w:proofErr w:type="gramEnd"/>
            <w:r w:rsidRPr="00C7263A">
              <w:t xml:space="preserve"> practices to support care coordination services.  Payment amount is calculated per attributed beneficiary, per month.</w:t>
            </w:r>
          </w:p>
        </w:tc>
      </w:tr>
      <w:tr w:rsidR="00543105" w:rsidRPr="00C7263A" w14:paraId="3CE972FD" w14:textId="77777777" w:rsidTr="00425513">
        <w:tc>
          <w:tcPr>
            <w:tcW w:w="3802" w:type="dxa"/>
            <w:tcBorders>
              <w:top w:val="single" w:sz="4" w:space="0" w:color="auto"/>
              <w:left w:val="nil"/>
              <w:bottom w:val="single" w:sz="4" w:space="0" w:color="auto"/>
              <w:right w:val="nil"/>
            </w:tcBorders>
            <w:hideMark/>
          </w:tcPr>
          <w:p w14:paraId="5D5816CF" w14:textId="77777777" w:rsidR="00543105" w:rsidRPr="00C7263A" w:rsidRDefault="00543105" w:rsidP="00425513">
            <w:pPr>
              <w:pStyle w:val="cTableText"/>
            </w:pPr>
            <w:r w:rsidRPr="00C7263A">
              <w:t>Default pool</w:t>
            </w:r>
          </w:p>
        </w:tc>
        <w:tc>
          <w:tcPr>
            <w:tcW w:w="5576" w:type="dxa"/>
            <w:tcBorders>
              <w:top w:val="single" w:sz="4" w:space="0" w:color="auto"/>
              <w:left w:val="nil"/>
              <w:bottom w:val="single" w:sz="4" w:space="0" w:color="auto"/>
              <w:right w:val="nil"/>
            </w:tcBorders>
            <w:hideMark/>
          </w:tcPr>
          <w:p w14:paraId="176FF3D2" w14:textId="77777777" w:rsidR="00543105" w:rsidRPr="00C7263A" w:rsidRDefault="00543105" w:rsidP="00425513">
            <w:pPr>
              <w:pStyle w:val="cTableText"/>
            </w:pPr>
            <w:r w:rsidRPr="00C7263A">
              <w:t>A pool of beneficiaries who are attributed to participating practices that do not meet the requirements in Section 233.000, part A or part B.</w:t>
            </w:r>
          </w:p>
        </w:tc>
      </w:tr>
      <w:tr w:rsidR="00543105" w:rsidRPr="00C7263A" w14:paraId="39D68A0A" w14:textId="77777777" w:rsidTr="00425513">
        <w:tc>
          <w:tcPr>
            <w:tcW w:w="3802" w:type="dxa"/>
            <w:tcBorders>
              <w:top w:val="single" w:sz="4" w:space="0" w:color="auto"/>
              <w:left w:val="nil"/>
              <w:bottom w:val="single" w:sz="4" w:space="0" w:color="auto"/>
              <w:right w:val="nil"/>
            </w:tcBorders>
            <w:hideMark/>
          </w:tcPr>
          <w:p w14:paraId="62ED3A7C" w14:textId="77777777" w:rsidR="00543105" w:rsidRPr="00C7263A" w:rsidRDefault="00543105" w:rsidP="00425513">
            <w:pPr>
              <w:pStyle w:val="cTableText"/>
            </w:pPr>
            <w:r w:rsidRPr="00C7263A">
              <w:t>Medical neighborhood barriers</w:t>
            </w:r>
          </w:p>
        </w:tc>
        <w:tc>
          <w:tcPr>
            <w:tcW w:w="5576" w:type="dxa"/>
            <w:tcBorders>
              <w:top w:val="single" w:sz="4" w:space="0" w:color="auto"/>
              <w:left w:val="nil"/>
              <w:bottom w:val="single" w:sz="4" w:space="0" w:color="auto"/>
              <w:right w:val="nil"/>
            </w:tcBorders>
            <w:hideMark/>
          </w:tcPr>
          <w:p w14:paraId="41E99A70" w14:textId="77777777" w:rsidR="00543105" w:rsidRPr="00C7263A" w:rsidRDefault="00543105" w:rsidP="00425513">
            <w:pPr>
              <w:pStyle w:val="cTableText"/>
            </w:pPr>
            <w:r w:rsidRPr="00C7263A">
              <w:t xml:space="preserve">Obstacles to the delivery of coordinated care that exist in </w:t>
            </w:r>
            <w:r w:rsidRPr="00C7263A">
              <w:lastRenderedPageBreak/>
              <w:t>areas of the health system external to PCMH.</w:t>
            </w:r>
          </w:p>
        </w:tc>
      </w:tr>
      <w:tr w:rsidR="00543105" w:rsidRPr="00C7263A" w14:paraId="2CEE4B9E" w14:textId="77777777" w:rsidTr="00425513">
        <w:tc>
          <w:tcPr>
            <w:tcW w:w="3802" w:type="dxa"/>
            <w:tcBorders>
              <w:top w:val="single" w:sz="4" w:space="0" w:color="auto"/>
              <w:left w:val="nil"/>
              <w:bottom w:val="single" w:sz="4" w:space="0" w:color="auto"/>
              <w:right w:val="nil"/>
            </w:tcBorders>
            <w:hideMark/>
          </w:tcPr>
          <w:p w14:paraId="767A62D1" w14:textId="77777777" w:rsidR="00543105" w:rsidRPr="00C7263A" w:rsidRDefault="00543105" w:rsidP="00425513">
            <w:pPr>
              <w:pStyle w:val="cTableText"/>
            </w:pPr>
            <w:r w:rsidRPr="00C7263A">
              <w:lastRenderedPageBreak/>
              <w:t>Participating practice</w:t>
            </w:r>
          </w:p>
        </w:tc>
        <w:tc>
          <w:tcPr>
            <w:tcW w:w="5576" w:type="dxa"/>
            <w:tcBorders>
              <w:top w:val="single" w:sz="4" w:space="0" w:color="auto"/>
              <w:left w:val="nil"/>
              <w:bottom w:val="single" w:sz="4" w:space="0" w:color="auto"/>
              <w:right w:val="nil"/>
            </w:tcBorders>
            <w:hideMark/>
          </w:tcPr>
          <w:p w14:paraId="502DED2D" w14:textId="77777777" w:rsidR="00543105" w:rsidRPr="00C7263A" w:rsidRDefault="00543105" w:rsidP="00425513">
            <w:pPr>
              <w:pStyle w:val="cTableText"/>
            </w:pPr>
            <w:r w:rsidRPr="00C7263A">
              <w:t>A physician practice that is enrolled in the PCMH program, which must be one of the following:</w:t>
            </w:r>
          </w:p>
          <w:p w14:paraId="0CF0BDEE" w14:textId="77777777" w:rsidR="00543105" w:rsidRPr="00C7263A" w:rsidRDefault="00543105" w:rsidP="00425513">
            <w:pPr>
              <w:pStyle w:val="CLETTERED"/>
              <w:ind w:left="608"/>
            </w:pPr>
            <w:r w:rsidRPr="00C7263A">
              <w:t>A.</w:t>
            </w:r>
            <w:r w:rsidRPr="00C7263A">
              <w:tab/>
              <w:t>An individual primary care physician (Provider Type 01 or 03</w:t>
            </w:r>
            <w:proofErr w:type="gramStart"/>
            <w:r w:rsidRPr="00C7263A">
              <w:t>);</w:t>
            </w:r>
            <w:proofErr w:type="gramEnd"/>
          </w:p>
          <w:p w14:paraId="0AB2FA21" w14:textId="77777777" w:rsidR="00543105" w:rsidRPr="00C7263A" w:rsidRDefault="00543105" w:rsidP="00425513">
            <w:pPr>
              <w:pStyle w:val="CLETTERED"/>
              <w:ind w:left="608"/>
            </w:pPr>
            <w:r w:rsidRPr="00C7263A">
              <w:t>B.</w:t>
            </w:r>
            <w:r w:rsidRPr="00C7263A">
              <w:tab/>
              <w:t xml:space="preserve">A physician group of primary care providers who are </w:t>
            </w:r>
            <w:proofErr w:type="gramStart"/>
            <w:r w:rsidRPr="00C7263A">
              <w:t>affiliated,</w:t>
            </w:r>
            <w:proofErr w:type="gramEnd"/>
            <w:r w:rsidRPr="00C7263A">
              <w:t xml:space="preserve"> with a common group identification number (Provider Type 02, 04 or 81</w:t>
            </w:r>
            <w:proofErr w:type="gramStart"/>
            <w:r w:rsidRPr="00C7263A">
              <w:t>);</w:t>
            </w:r>
            <w:proofErr w:type="gramEnd"/>
          </w:p>
          <w:p w14:paraId="0F326CFA" w14:textId="77777777" w:rsidR="00543105" w:rsidRPr="00C7263A" w:rsidRDefault="00543105" w:rsidP="00425513">
            <w:pPr>
              <w:pStyle w:val="CLETTERED"/>
              <w:ind w:left="608"/>
            </w:pPr>
            <w:r w:rsidRPr="00C7263A">
              <w:t>C</w:t>
            </w:r>
            <w:proofErr w:type="gramStart"/>
            <w:r w:rsidRPr="00C7263A">
              <w:t xml:space="preserve">. </w:t>
            </w:r>
            <w:r w:rsidRPr="00C7263A">
              <w:tab/>
              <w:t>A</w:t>
            </w:r>
            <w:proofErr w:type="gramEnd"/>
            <w:r w:rsidRPr="00C7263A">
              <w:t xml:space="preserve"> Rural Health Clinic (Provider Type 29) as defined in the Rural Health Clinic Provider Manual Section 201.000; or</w:t>
            </w:r>
          </w:p>
          <w:p w14:paraId="1C8B7403" w14:textId="77777777" w:rsidR="00543105" w:rsidRPr="00C7263A" w:rsidRDefault="00543105" w:rsidP="00425513">
            <w:pPr>
              <w:pStyle w:val="CLETTERED"/>
              <w:ind w:left="608"/>
            </w:pPr>
            <w:r w:rsidRPr="00C7263A">
              <w:t>D.</w:t>
            </w:r>
            <w:r w:rsidRPr="00C7263A">
              <w:tab/>
              <w:t>An Area Health Education Center (Provider type 69).</w:t>
            </w:r>
          </w:p>
        </w:tc>
      </w:tr>
      <w:tr w:rsidR="00543105" w:rsidRPr="00C7263A" w14:paraId="50C55B45" w14:textId="77777777" w:rsidTr="00425513">
        <w:tc>
          <w:tcPr>
            <w:tcW w:w="3802" w:type="dxa"/>
            <w:tcBorders>
              <w:top w:val="single" w:sz="4" w:space="0" w:color="auto"/>
              <w:left w:val="nil"/>
              <w:bottom w:val="single" w:sz="4" w:space="0" w:color="auto"/>
              <w:right w:val="nil"/>
            </w:tcBorders>
            <w:hideMark/>
          </w:tcPr>
          <w:p w14:paraId="4CD7AC89" w14:textId="77777777" w:rsidR="00543105" w:rsidRPr="00C7263A" w:rsidRDefault="00543105" w:rsidP="00425513">
            <w:pPr>
              <w:pStyle w:val="cTableText"/>
            </w:pPr>
            <w:r w:rsidRPr="00C7263A">
              <w:t>Patient-Centered Medical Home (PCMH)</w:t>
            </w:r>
          </w:p>
        </w:tc>
        <w:tc>
          <w:tcPr>
            <w:tcW w:w="5576" w:type="dxa"/>
            <w:tcBorders>
              <w:top w:val="single" w:sz="4" w:space="0" w:color="auto"/>
              <w:left w:val="nil"/>
              <w:bottom w:val="single" w:sz="4" w:space="0" w:color="auto"/>
              <w:right w:val="nil"/>
            </w:tcBorders>
            <w:hideMark/>
          </w:tcPr>
          <w:p w14:paraId="0902F032" w14:textId="77777777" w:rsidR="00543105" w:rsidRPr="00C7263A" w:rsidRDefault="00543105" w:rsidP="00425513">
            <w:pPr>
              <w:pStyle w:val="cTableText"/>
            </w:pPr>
            <w:r w:rsidRPr="00C7263A">
              <w:t>A team-based care delivery model led by Primary Care Physicians (PCPs) who comprehensively manage beneficiaries’ health needs with an emphasis on health care value.</w:t>
            </w:r>
          </w:p>
        </w:tc>
      </w:tr>
      <w:tr w:rsidR="00543105" w:rsidRPr="00C7263A" w14:paraId="3025A292" w14:textId="77777777" w:rsidTr="00425513">
        <w:tc>
          <w:tcPr>
            <w:tcW w:w="3802" w:type="dxa"/>
            <w:tcBorders>
              <w:top w:val="single" w:sz="4" w:space="0" w:color="auto"/>
              <w:left w:val="nil"/>
              <w:bottom w:val="single" w:sz="4" w:space="0" w:color="auto"/>
              <w:right w:val="nil"/>
            </w:tcBorders>
            <w:hideMark/>
          </w:tcPr>
          <w:p w14:paraId="3E4B4D3E" w14:textId="77777777" w:rsidR="00543105" w:rsidRPr="00C7263A" w:rsidRDefault="00543105" w:rsidP="00425513">
            <w:pPr>
              <w:pStyle w:val="cTableText"/>
            </w:pPr>
            <w:r w:rsidRPr="00C7263A">
              <w:t>Performance-based incentive payments</w:t>
            </w:r>
          </w:p>
        </w:tc>
        <w:tc>
          <w:tcPr>
            <w:tcW w:w="5576" w:type="dxa"/>
            <w:tcBorders>
              <w:top w:val="single" w:sz="4" w:space="0" w:color="auto"/>
              <w:left w:val="nil"/>
              <w:bottom w:val="single" w:sz="4" w:space="0" w:color="auto"/>
              <w:right w:val="nil"/>
            </w:tcBorders>
            <w:hideMark/>
          </w:tcPr>
          <w:p w14:paraId="69DF21EE" w14:textId="77777777" w:rsidR="00543105" w:rsidRPr="00C7263A" w:rsidRDefault="00543105" w:rsidP="00425513">
            <w:pPr>
              <w:pStyle w:val="CLETTERED"/>
              <w:ind w:left="68" w:firstLine="0"/>
            </w:pPr>
            <w:r w:rsidRPr="00C7263A">
              <w:t xml:space="preserve">Performance-based incentive payments are payments made to a shared performance entity for delivery of economic, </w:t>
            </w:r>
            <w:proofErr w:type="gramStart"/>
            <w:r w:rsidRPr="00C7263A">
              <w:t>efficient</w:t>
            </w:r>
            <w:proofErr w:type="gramEnd"/>
            <w:r w:rsidRPr="00C7263A">
              <w:t xml:space="preserve"> and quality care.</w:t>
            </w:r>
          </w:p>
        </w:tc>
      </w:tr>
      <w:tr w:rsidR="00543105" w:rsidRPr="00C7263A" w14:paraId="7ABF0421" w14:textId="77777777" w:rsidTr="00425513">
        <w:tc>
          <w:tcPr>
            <w:tcW w:w="3802" w:type="dxa"/>
            <w:tcBorders>
              <w:top w:val="single" w:sz="4" w:space="0" w:color="auto"/>
              <w:left w:val="nil"/>
              <w:bottom w:val="single" w:sz="4" w:space="0" w:color="auto"/>
              <w:right w:val="nil"/>
            </w:tcBorders>
            <w:hideMark/>
          </w:tcPr>
          <w:p w14:paraId="2EDA7F3A" w14:textId="77777777" w:rsidR="00543105" w:rsidRPr="00C7263A" w:rsidRDefault="00543105" w:rsidP="00425513">
            <w:pPr>
              <w:pStyle w:val="cTableText"/>
            </w:pPr>
            <w:r w:rsidRPr="00C7263A">
              <w:t>Performance adjustment</w:t>
            </w:r>
          </w:p>
        </w:tc>
        <w:tc>
          <w:tcPr>
            <w:tcW w:w="5576" w:type="dxa"/>
            <w:tcBorders>
              <w:top w:val="single" w:sz="4" w:space="0" w:color="auto"/>
              <w:left w:val="nil"/>
              <w:bottom w:val="single" w:sz="4" w:space="0" w:color="auto"/>
              <w:right w:val="nil"/>
            </w:tcBorders>
            <w:hideMark/>
          </w:tcPr>
          <w:p w14:paraId="0F4F92CA" w14:textId="77777777" w:rsidR="00543105" w:rsidRPr="00C7263A" w:rsidRDefault="00543105" w:rsidP="00425513">
            <w:pPr>
              <w:pStyle w:val="cTableText"/>
            </w:pPr>
            <w:r w:rsidRPr="00C7263A">
              <w:t>An adjustment to the cost of beneficiary care to account for patient risk.</w:t>
            </w:r>
          </w:p>
        </w:tc>
      </w:tr>
      <w:tr w:rsidR="00543105" w:rsidRPr="00C7263A" w14:paraId="598C5D37" w14:textId="77777777" w:rsidTr="00425513">
        <w:tc>
          <w:tcPr>
            <w:tcW w:w="3802" w:type="dxa"/>
            <w:tcBorders>
              <w:top w:val="single" w:sz="4" w:space="0" w:color="auto"/>
              <w:left w:val="nil"/>
              <w:bottom w:val="single" w:sz="4" w:space="0" w:color="auto"/>
              <w:right w:val="nil"/>
            </w:tcBorders>
            <w:hideMark/>
          </w:tcPr>
          <w:p w14:paraId="0D0E6166" w14:textId="77777777" w:rsidR="00543105" w:rsidRPr="00C7263A" w:rsidRDefault="00543105" w:rsidP="00425513">
            <w:pPr>
              <w:pStyle w:val="cTableText"/>
            </w:pPr>
            <w:r w:rsidRPr="00C7263A">
              <w:t>Performance period</w:t>
            </w:r>
          </w:p>
        </w:tc>
        <w:tc>
          <w:tcPr>
            <w:tcW w:w="5576" w:type="dxa"/>
            <w:tcBorders>
              <w:top w:val="single" w:sz="4" w:space="0" w:color="auto"/>
              <w:left w:val="nil"/>
              <w:bottom w:val="single" w:sz="4" w:space="0" w:color="auto"/>
              <w:right w:val="nil"/>
            </w:tcBorders>
            <w:hideMark/>
          </w:tcPr>
          <w:p w14:paraId="7BBB3FD2" w14:textId="77777777" w:rsidR="00543105" w:rsidRPr="00C7263A" w:rsidRDefault="00543105" w:rsidP="00425513">
            <w:pPr>
              <w:pStyle w:val="cTableText"/>
            </w:pPr>
            <w:r w:rsidRPr="00C7263A">
              <w:t xml:space="preserve">The </w:t>
            </w:r>
            <w:proofErr w:type="gramStart"/>
            <w:r w:rsidRPr="00C7263A">
              <w:t>period of time</w:t>
            </w:r>
            <w:proofErr w:type="gramEnd"/>
            <w:r w:rsidRPr="00C7263A">
              <w:t xml:space="preserve"> over which performance is aggregated and assessed.</w:t>
            </w:r>
          </w:p>
        </w:tc>
      </w:tr>
      <w:tr w:rsidR="00543105" w:rsidRPr="00C7263A" w14:paraId="36A77DA8" w14:textId="77777777" w:rsidTr="00425513">
        <w:tc>
          <w:tcPr>
            <w:tcW w:w="3802" w:type="dxa"/>
            <w:tcBorders>
              <w:top w:val="single" w:sz="4" w:space="0" w:color="auto"/>
              <w:left w:val="nil"/>
              <w:bottom w:val="single" w:sz="4" w:space="0" w:color="auto"/>
              <w:right w:val="nil"/>
            </w:tcBorders>
            <w:hideMark/>
          </w:tcPr>
          <w:p w14:paraId="78E0DF9E" w14:textId="77777777" w:rsidR="00543105" w:rsidRPr="00C7263A" w:rsidRDefault="00543105" w:rsidP="00425513">
            <w:pPr>
              <w:pStyle w:val="cTableText"/>
            </w:pPr>
            <w:r w:rsidRPr="00C7263A">
              <w:t>Petite pool</w:t>
            </w:r>
          </w:p>
        </w:tc>
        <w:tc>
          <w:tcPr>
            <w:tcW w:w="5576" w:type="dxa"/>
            <w:tcBorders>
              <w:top w:val="single" w:sz="4" w:space="0" w:color="auto"/>
              <w:left w:val="nil"/>
              <w:bottom w:val="single" w:sz="4" w:space="0" w:color="auto"/>
              <w:right w:val="nil"/>
            </w:tcBorders>
            <w:hideMark/>
          </w:tcPr>
          <w:p w14:paraId="65EFAC07" w14:textId="77777777" w:rsidR="00543105" w:rsidRPr="00C7263A" w:rsidRDefault="00543105" w:rsidP="00425513">
            <w:pPr>
              <w:pStyle w:val="cTableText"/>
            </w:pPr>
            <w:r w:rsidRPr="00C7263A">
              <w:t>Pool reserved for practices with less than 300 attributed beneficiaries that do not wish to participate in a voluntary pool.</w:t>
            </w:r>
          </w:p>
        </w:tc>
      </w:tr>
      <w:tr w:rsidR="00543105" w:rsidRPr="00C7263A" w14:paraId="31834905" w14:textId="77777777" w:rsidTr="00425513">
        <w:tc>
          <w:tcPr>
            <w:tcW w:w="3802" w:type="dxa"/>
            <w:tcBorders>
              <w:top w:val="single" w:sz="4" w:space="0" w:color="auto"/>
              <w:left w:val="nil"/>
              <w:bottom w:val="single" w:sz="4" w:space="0" w:color="auto"/>
              <w:right w:val="nil"/>
            </w:tcBorders>
            <w:hideMark/>
          </w:tcPr>
          <w:p w14:paraId="528C6C33" w14:textId="77777777" w:rsidR="00543105" w:rsidRPr="00C7263A" w:rsidRDefault="00543105" w:rsidP="00425513">
            <w:pPr>
              <w:pStyle w:val="cTableText"/>
            </w:pPr>
            <w:r w:rsidRPr="00C7263A">
              <w:t>Pool</w:t>
            </w:r>
          </w:p>
        </w:tc>
        <w:tc>
          <w:tcPr>
            <w:tcW w:w="5576" w:type="dxa"/>
            <w:tcBorders>
              <w:top w:val="single" w:sz="4" w:space="0" w:color="auto"/>
              <w:left w:val="nil"/>
              <w:bottom w:val="single" w:sz="4" w:space="0" w:color="auto"/>
              <w:right w:val="nil"/>
            </w:tcBorders>
            <w:hideMark/>
          </w:tcPr>
          <w:p w14:paraId="701FB605" w14:textId="77777777" w:rsidR="00543105" w:rsidRPr="00C7263A" w:rsidRDefault="00543105" w:rsidP="00425513">
            <w:pPr>
              <w:pStyle w:val="CLETTERED"/>
              <w:ind w:left="608"/>
            </w:pPr>
            <w:r w:rsidRPr="00C7263A">
              <w:t>A.</w:t>
            </w:r>
            <w:r w:rsidRPr="00C7263A">
              <w:tab/>
              <w:t>The beneficiaries who are attributed to one or more participating practice(s) for the purpose of forming a shared performance entity; or</w:t>
            </w:r>
          </w:p>
          <w:p w14:paraId="0B96C153" w14:textId="77777777" w:rsidR="00543105" w:rsidRPr="00C7263A" w:rsidRDefault="00543105" w:rsidP="00425513">
            <w:pPr>
              <w:pStyle w:val="CLETTERED"/>
              <w:ind w:left="608"/>
            </w:pPr>
            <w:r w:rsidRPr="00C7263A">
              <w:t>B.</w:t>
            </w:r>
            <w:r w:rsidRPr="00C7263A">
              <w:tab/>
              <w:t>The action of aggregating beneficiaries for the purposes of performance-based incentive payment calculations (i.e., the action of forming a shared performance entity).</w:t>
            </w:r>
          </w:p>
        </w:tc>
      </w:tr>
      <w:tr w:rsidR="00543105" w:rsidRPr="00C7263A" w14:paraId="1A515D75" w14:textId="77777777" w:rsidTr="00425513">
        <w:tc>
          <w:tcPr>
            <w:tcW w:w="3802" w:type="dxa"/>
            <w:tcBorders>
              <w:top w:val="single" w:sz="4" w:space="0" w:color="auto"/>
              <w:left w:val="nil"/>
              <w:bottom w:val="single" w:sz="4" w:space="0" w:color="auto"/>
              <w:right w:val="nil"/>
            </w:tcBorders>
            <w:hideMark/>
          </w:tcPr>
          <w:p w14:paraId="149523AE" w14:textId="77777777" w:rsidR="00543105" w:rsidRPr="00C7263A" w:rsidRDefault="00543105" w:rsidP="00425513">
            <w:pPr>
              <w:pStyle w:val="cTableText"/>
            </w:pPr>
            <w:r w:rsidRPr="00C7263A">
              <w:t>Practice support</w:t>
            </w:r>
          </w:p>
        </w:tc>
        <w:tc>
          <w:tcPr>
            <w:tcW w:w="5576" w:type="dxa"/>
            <w:tcBorders>
              <w:top w:val="single" w:sz="4" w:space="0" w:color="auto"/>
              <w:left w:val="nil"/>
              <w:bottom w:val="single" w:sz="4" w:space="0" w:color="auto"/>
              <w:right w:val="nil"/>
            </w:tcBorders>
            <w:hideMark/>
          </w:tcPr>
          <w:p w14:paraId="38867C0A" w14:textId="77777777" w:rsidR="00543105" w:rsidRPr="00C7263A" w:rsidRDefault="00543105" w:rsidP="00425513">
            <w:pPr>
              <w:pStyle w:val="cTableText"/>
            </w:pPr>
            <w:r w:rsidRPr="00C7263A">
              <w:t>Support provided by Medicaid in the form of care coordination payments to a participating practice.</w:t>
            </w:r>
          </w:p>
        </w:tc>
      </w:tr>
      <w:tr w:rsidR="00543105" w:rsidRPr="00C7263A" w14:paraId="5EE03944" w14:textId="77777777" w:rsidTr="00425513">
        <w:tc>
          <w:tcPr>
            <w:tcW w:w="3802" w:type="dxa"/>
            <w:tcBorders>
              <w:top w:val="single" w:sz="4" w:space="0" w:color="auto"/>
              <w:left w:val="nil"/>
              <w:bottom w:val="single" w:sz="4" w:space="0" w:color="auto"/>
              <w:right w:val="nil"/>
            </w:tcBorders>
            <w:hideMark/>
          </w:tcPr>
          <w:p w14:paraId="3E7B1278" w14:textId="77777777" w:rsidR="00543105" w:rsidRPr="00C7263A" w:rsidRDefault="00543105" w:rsidP="00425513">
            <w:pPr>
              <w:pStyle w:val="cTableText"/>
            </w:pPr>
            <w:r w:rsidRPr="00C7263A">
              <w:t>Practice transformation</w:t>
            </w:r>
          </w:p>
        </w:tc>
        <w:tc>
          <w:tcPr>
            <w:tcW w:w="5576" w:type="dxa"/>
            <w:tcBorders>
              <w:top w:val="single" w:sz="4" w:space="0" w:color="auto"/>
              <w:left w:val="nil"/>
              <w:bottom w:val="single" w:sz="4" w:space="0" w:color="auto"/>
              <w:right w:val="nil"/>
            </w:tcBorders>
            <w:hideMark/>
          </w:tcPr>
          <w:p w14:paraId="12804B94" w14:textId="77777777" w:rsidR="00543105" w:rsidRPr="00C7263A" w:rsidRDefault="00543105" w:rsidP="00425513">
            <w:pPr>
              <w:pStyle w:val="cTableText"/>
            </w:pPr>
            <w:r w:rsidRPr="00C7263A">
              <w:t xml:space="preserve">The adoption, implementation and maintenance of approaches, activities, </w:t>
            </w:r>
            <w:proofErr w:type="gramStart"/>
            <w:r w:rsidRPr="00C7263A">
              <w:t>capabilities</w:t>
            </w:r>
            <w:proofErr w:type="gramEnd"/>
            <w:r w:rsidRPr="00C7263A">
              <w:t xml:space="preserve"> and tools that enable a participating practice to serve as a PCMH.</w:t>
            </w:r>
          </w:p>
        </w:tc>
      </w:tr>
      <w:tr w:rsidR="00543105" w:rsidRPr="00C7263A" w14:paraId="1268F08A" w14:textId="77777777" w:rsidTr="00425513">
        <w:tc>
          <w:tcPr>
            <w:tcW w:w="3802" w:type="dxa"/>
            <w:tcBorders>
              <w:top w:val="single" w:sz="4" w:space="0" w:color="auto"/>
              <w:left w:val="nil"/>
              <w:bottom w:val="single" w:sz="4" w:space="0" w:color="auto"/>
              <w:right w:val="nil"/>
            </w:tcBorders>
            <w:hideMark/>
          </w:tcPr>
          <w:p w14:paraId="5B01D100" w14:textId="77777777" w:rsidR="00543105" w:rsidRPr="00C7263A" w:rsidRDefault="00543105" w:rsidP="00425513">
            <w:pPr>
              <w:pStyle w:val="cTableText"/>
            </w:pPr>
            <w:r w:rsidRPr="00C7263A">
              <w:t>Primary Care Physician (PCP)</w:t>
            </w:r>
          </w:p>
        </w:tc>
        <w:tc>
          <w:tcPr>
            <w:tcW w:w="5576" w:type="dxa"/>
            <w:tcBorders>
              <w:top w:val="single" w:sz="4" w:space="0" w:color="auto"/>
              <w:left w:val="nil"/>
              <w:bottom w:val="single" w:sz="4" w:space="0" w:color="auto"/>
              <w:right w:val="nil"/>
            </w:tcBorders>
            <w:hideMark/>
          </w:tcPr>
          <w:p w14:paraId="6FBBCB08" w14:textId="77777777" w:rsidR="00543105" w:rsidRPr="00C7263A" w:rsidRDefault="00543105" w:rsidP="00425513">
            <w:pPr>
              <w:pStyle w:val="cTableText"/>
            </w:pPr>
            <w:r w:rsidRPr="00C7263A">
              <w:t>See Section 171.000 of the Arkansas Medicaid provider manual.</w:t>
            </w:r>
          </w:p>
        </w:tc>
      </w:tr>
      <w:tr w:rsidR="00543105" w:rsidRPr="00C7263A" w14:paraId="23BE15AC" w14:textId="77777777" w:rsidTr="00425513">
        <w:tc>
          <w:tcPr>
            <w:tcW w:w="3802" w:type="dxa"/>
            <w:tcBorders>
              <w:top w:val="single" w:sz="4" w:space="0" w:color="auto"/>
              <w:left w:val="nil"/>
              <w:bottom w:val="single" w:sz="4" w:space="0" w:color="auto"/>
              <w:right w:val="nil"/>
            </w:tcBorders>
            <w:hideMark/>
          </w:tcPr>
          <w:p w14:paraId="5EE090B5" w14:textId="77777777" w:rsidR="00543105" w:rsidRPr="00C7263A" w:rsidRDefault="00543105" w:rsidP="00425513">
            <w:pPr>
              <w:pStyle w:val="cTableText"/>
            </w:pPr>
            <w:r w:rsidRPr="00C7263A">
              <w:t>Provider portal</w:t>
            </w:r>
          </w:p>
        </w:tc>
        <w:tc>
          <w:tcPr>
            <w:tcW w:w="5576" w:type="dxa"/>
            <w:tcBorders>
              <w:top w:val="single" w:sz="4" w:space="0" w:color="auto"/>
              <w:left w:val="nil"/>
              <w:bottom w:val="single" w:sz="4" w:space="0" w:color="auto"/>
              <w:right w:val="nil"/>
            </w:tcBorders>
            <w:hideMark/>
          </w:tcPr>
          <w:p w14:paraId="681C60E5" w14:textId="77777777" w:rsidR="00543105" w:rsidRPr="00C7263A" w:rsidRDefault="00543105" w:rsidP="00425513">
            <w:pPr>
              <w:pStyle w:val="cTableText"/>
            </w:pPr>
            <w:r w:rsidRPr="00C7263A">
              <w:t>The website that participating practices use for purposes of enrollment, reporting to the Division of Medical Services (DMS) and receiving information from DMS.</w:t>
            </w:r>
          </w:p>
        </w:tc>
      </w:tr>
      <w:tr w:rsidR="00543105" w:rsidRPr="00C7263A" w14:paraId="4D6E2F8C" w14:textId="77777777" w:rsidTr="00425513">
        <w:tc>
          <w:tcPr>
            <w:tcW w:w="3802" w:type="dxa"/>
            <w:tcBorders>
              <w:top w:val="single" w:sz="4" w:space="0" w:color="auto"/>
              <w:left w:val="nil"/>
              <w:bottom w:val="single" w:sz="4" w:space="0" w:color="auto"/>
              <w:right w:val="nil"/>
            </w:tcBorders>
            <w:hideMark/>
          </w:tcPr>
          <w:p w14:paraId="4E523137" w14:textId="77777777" w:rsidR="00543105" w:rsidRPr="00C7263A" w:rsidRDefault="00543105" w:rsidP="00425513">
            <w:pPr>
              <w:pStyle w:val="cTableText"/>
            </w:pPr>
            <w:r w:rsidRPr="00C7263A">
              <w:t>Quality Improvement Plan (QIP)</w:t>
            </w:r>
          </w:p>
        </w:tc>
        <w:tc>
          <w:tcPr>
            <w:tcW w:w="5576" w:type="dxa"/>
            <w:tcBorders>
              <w:top w:val="single" w:sz="4" w:space="0" w:color="auto"/>
              <w:left w:val="nil"/>
              <w:bottom w:val="single" w:sz="4" w:space="0" w:color="auto"/>
              <w:right w:val="nil"/>
            </w:tcBorders>
            <w:hideMark/>
          </w:tcPr>
          <w:p w14:paraId="4236DAA1" w14:textId="77777777" w:rsidR="00543105" w:rsidRPr="00C7263A" w:rsidRDefault="00543105" w:rsidP="00425513">
            <w:pPr>
              <w:pStyle w:val="cTableText"/>
            </w:pPr>
            <w:r w:rsidRPr="00C7263A">
              <w:t xml:space="preserve">QIP is a plan of improvement that practices must submit to PCMH Quality Assurance team after receiving notice </w:t>
            </w:r>
            <w:r w:rsidRPr="00C7263A">
              <w:lastRenderedPageBreak/>
              <w:t>of attestation failure or validation failure.</w:t>
            </w:r>
          </w:p>
        </w:tc>
      </w:tr>
      <w:tr w:rsidR="00543105" w:rsidRPr="00C7263A" w14:paraId="730331F5" w14:textId="77777777" w:rsidTr="00425513">
        <w:tc>
          <w:tcPr>
            <w:tcW w:w="3802" w:type="dxa"/>
            <w:tcBorders>
              <w:top w:val="single" w:sz="4" w:space="0" w:color="auto"/>
              <w:left w:val="nil"/>
              <w:bottom w:val="single" w:sz="4" w:space="0" w:color="auto"/>
              <w:right w:val="nil"/>
            </w:tcBorders>
            <w:hideMark/>
          </w:tcPr>
          <w:p w14:paraId="1722FEA1" w14:textId="77777777" w:rsidR="00543105" w:rsidRPr="00C7263A" w:rsidRDefault="00543105" w:rsidP="00425513">
            <w:pPr>
              <w:pStyle w:val="cTableText"/>
            </w:pPr>
            <w:r w:rsidRPr="00C7263A">
              <w:lastRenderedPageBreak/>
              <w:t>Recover</w:t>
            </w:r>
          </w:p>
        </w:tc>
        <w:tc>
          <w:tcPr>
            <w:tcW w:w="5576" w:type="dxa"/>
            <w:tcBorders>
              <w:top w:val="single" w:sz="4" w:space="0" w:color="auto"/>
              <w:left w:val="nil"/>
              <w:bottom w:val="single" w:sz="4" w:space="0" w:color="auto"/>
              <w:right w:val="nil"/>
            </w:tcBorders>
            <w:hideMark/>
          </w:tcPr>
          <w:p w14:paraId="348F2820" w14:textId="77777777" w:rsidR="00543105" w:rsidRPr="00C7263A" w:rsidRDefault="00543105" w:rsidP="00425513">
            <w:pPr>
              <w:pStyle w:val="cTableText"/>
            </w:pPr>
            <w:r w:rsidRPr="00C7263A">
              <w:t>To deduct an amount from a participating practice’s future Medicaid receivables, including without limitation, PCMH payments, or fee-for-service reimbursements, to recoup such amount through legal process, or both.</w:t>
            </w:r>
          </w:p>
        </w:tc>
      </w:tr>
      <w:tr w:rsidR="00543105" w:rsidRPr="00C7263A" w14:paraId="63BFA2D4" w14:textId="77777777" w:rsidTr="00425513">
        <w:tc>
          <w:tcPr>
            <w:tcW w:w="3802" w:type="dxa"/>
            <w:tcBorders>
              <w:top w:val="single" w:sz="4" w:space="0" w:color="auto"/>
              <w:left w:val="nil"/>
              <w:bottom w:val="single" w:sz="4" w:space="0" w:color="auto"/>
              <w:right w:val="nil"/>
            </w:tcBorders>
            <w:hideMark/>
          </w:tcPr>
          <w:p w14:paraId="5CA07824" w14:textId="77777777" w:rsidR="00543105" w:rsidRPr="00C7263A" w:rsidRDefault="00543105" w:rsidP="00425513">
            <w:pPr>
              <w:pStyle w:val="cTableText"/>
            </w:pPr>
            <w:r w:rsidRPr="00C7263A">
              <w:t>Remediation time</w:t>
            </w:r>
          </w:p>
        </w:tc>
        <w:tc>
          <w:tcPr>
            <w:tcW w:w="5576" w:type="dxa"/>
            <w:tcBorders>
              <w:top w:val="single" w:sz="4" w:space="0" w:color="auto"/>
              <w:left w:val="nil"/>
              <w:bottom w:val="single" w:sz="4" w:space="0" w:color="auto"/>
              <w:right w:val="nil"/>
            </w:tcBorders>
            <w:hideMark/>
          </w:tcPr>
          <w:p w14:paraId="132DEBE6" w14:textId="77777777" w:rsidR="00543105" w:rsidRPr="00C7263A" w:rsidRDefault="00543105" w:rsidP="00425513">
            <w:pPr>
              <w:pStyle w:val="cTableText"/>
            </w:pPr>
            <w:r w:rsidRPr="00C7263A">
              <w:t xml:space="preserve">The period during which participating practices that fail to meet deadlines, targets or </w:t>
            </w:r>
            <w:proofErr w:type="gramStart"/>
            <w:r w:rsidRPr="00C7263A">
              <w:t>both on</w:t>
            </w:r>
            <w:proofErr w:type="gramEnd"/>
            <w:r w:rsidRPr="00C7263A">
              <w:t xml:space="preserve"> relevant activities and metrics tracked for practice support may continue to receive care coordination payments while improving performance.</w:t>
            </w:r>
          </w:p>
        </w:tc>
      </w:tr>
      <w:tr w:rsidR="00543105" w:rsidRPr="00C7263A" w14:paraId="5504E0DF" w14:textId="77777777" w:rsidTr="00425513">
        <w:tc>
          <w:tcPr>
            <w:tcW w:w="3802" w:type="dxa"/>
            <w:tcBorders>
              <w:top w:val="single" w:sz="4" w:space="0" w:color="auto"/>
              <w:left w:val="nil"/>
              <w:bottom w:val="single" w:sz="4" w:space="0" w:color="auto"/>
              <w:right w:val="nil"/>
            </w:tcBorders>
            <w:hideMark/>
          </w:tcPr>
          <w:p w14:paraId="49D69BC5" w14:textId="77777777" w:rsidR="00543105" w:rsidRPr="00C7263A" w:rsidRDefault="00543105" w:rsidP="00425513">
            <w:pPr>
              <w:pStyle w:val="cTableText"/>
            </w:pPr>
            <w:r w:rsidRPr="00C7263A">
              <w:t>Same-day appointment request</w:t>
            </w:r>
          </w:p>
        </w:tc>
        <w:tc>
          <w:tcPr>
            <w:tcW w:w="5576" w:type="dxa"/>
            <w:tcBorders>
              <w:top w:val="single" w:sz="4" w:space="0" w:color="auto"/>
              <w:left w:val="nil"/>
              <w:bottom w:val="single" w:sz="4" w:space="0" w:color="auto"/>
              <w:right w:val="nil"/>
            </w:tcBorders>
            <w:hideMark/>
          </w:tcPr>
          <w:p w14:paraId="4922BEF7" w14:textId="77777777" w:rsidR="00543105" w:rsidRPr="00C7263A" w:rsidRDefault="00543105" w:rsidP="00425513">
            <w:pPr>
              <w:pStyle w:val="cTableText"/>
            </w:pPr>
            <w:r w:rsidRPr="00C7263A">
              <w:t>A beneficiary request to be seen by a clinician within 24 hours.</w:t>
            </w:r>
          </w:p>
        </w:tc>
      </w:tr>
      <w:tr w:rsidR="00543105" w:rsidRPr="00C7263A" w14:paraId="43AA7627" w14:textId="77777777" w:rsidTr="00425513">
        <w:tc>
          <w:tcPr>
            <w:tcW w:w="3802" w:type="dxa"/>
            <w:tcBorders>
              <w:top w:val="single" w:sz="4" w:space="0" w:color="auto"/>
              <w:left w:val="nil"/>
              <w:bottom w:val="single" w:sz="4" w:space="0" w:color="auto"/>
              <w:right w:val="nil"/>
            </w:tcBorders>
            <w:hideMark/>
          </w:tcPr>
          <w:p w14:paraId="3733AE5E" w14:textId="77777777" w:rsidR="00543105" w:rsidRPr="00C7263A" w:rsidRDefault="00543105" w:rsidP="00425513">
            <w:pPr>
              <w:pStyle w:val="cTableText"/>
            </w:pPr>
            <w:r w:rsidRPr="00C7263A">
              <w:t>Shared performance entity</w:t>
            </w:r>
          </w:p>
        </w:tc>
        <w:tc>
          <w:tcPr>
            <w:tcW w:w="5576" w:type="dxa"/>
            <w:tcBorders>
              <w:top w:val="single" w:sz="4" w:space="0" w:color="auto"/>
              <w:left w:val="nil"/>
              <w:bottom w:val="single" w:sz="4" w:space="0" w:color="auto"/>
              <w:right w:val="nil"/>
            </w:tcBorders>
            <w:hideMark/>
          </w:tcPr>
          <w:p w14:paraId="54B52071" w14:textId="77777777" w:rsidR="00543105" w:rsidRPr="00C7263A" w:rsidRDefault="00543105" w:rsidP="00425513">
            <w:pPr>
              <w:pStyle w:val="cTableText"/>
            </w:pPr>
            <w:r w:rsidRPr="00C7263A">
              <w:t>A PCMH or pooled PCMHs that, contingent on performance, may receive performance-based incentive payments.</w:t>
            </w:r>
          </w:p>
        </w:tc>
      </w:tr>
      <w:tr w:rsidR="00543105" w:rsidRPr="00C7263A" w14:paraId="3622DC18" w14:textId="77777777" w:rsidTr="00425513">
        <w:tc>
          <w:tcPr>
            <w:tcW w:w="3802" w:type="dxa"/>
            <w:tcBorders>
              <w:top w:val="single" w:sz="4" w:space="0" w:color="auto"/>
              <w:left w:val="nil"/>
              <w:bottom w:val="single" w:sz="4" w:space="0" w:color="auto"/>
              <w:right w:val="nil"/>
            </w:tcBorders>
            <w:hideMark/>
          </w:tcPr>
          <w:p w14:paraId="7D838D9B" w14:textId="77777777" w:rsidR="00543105" w:rsidRPr="00C7263A" w:rsidRDefault="00543105" w:rsidP="00425513">
            <w:pPr>
              <w:pStyle w:val="cTableText"/>
            </w:pPr>
            <w:r w:rsidRPr="00C7263A">
              <w:t>State Health Alliance for Records Exchange (SHARE)</w:t>
            </w:r>
          </w:p>
        </w:tc>
        <w:tc>
          <w:tcPr>
            <w:tcW w:w="5576" w:type="dxa"/>
            <w:tcBorders>
              <w:top w:val="single" w:sz="4" w:space="0" w:color="auto"/>
              <w:left w:val="nil"/>
              <w:bottom w:val="single" w:sz="4" w:space="0" w:color="auto"/>
              <w:right w:val="nil"/>
            </w:tcBorders>
            <w:hideMark/>
          </w:tcPr>
          <w:p w14:paraId="3ADC728A" w14:textId="45D423D4" w:rsidR="00543105" w:rsidRPr="00C7263A" w:rsidRDefault="00543105" w:rsidP="00425513">
            <w:pPr>
              <w:pStyle w:val="cTableText"/>
            </w:pPr>
            <w:r w:rsidRPr="00C7263A">
              <w:t xml:space="preserve">The Arkansas Health Information Exchange. For more information, go to </w:t>
            </w:r>
            <w:hyperlink r:id="rId10" w:history="1">
              <w:r w:rsidR="00AD347B" w:rsidRPr="00700FC2">
                <w:rPr>
                  <w:rStyle w:val="Hyperlink"/>
                </w:rPr>
                <w:t>SHARE</w:t>
              </w:r>
            </w:hyperlink>
            <w:r w:rsidRPr="00C7263A">
              <w:t>.</w:t>
            </w:r>
          </w:p>
        </w:tc>
      </w:tr>
    </w:tbl>
    <w:p w14:paraId="726254E4" w14:textId="77777777" w:rsidR="00512EFE" w:rsidRPr="00C7263A" w:rsidRDefault="00512EFE" w:rsidP="00543105">
      <w:pPr>
        <w:pStyle w:val="ctablespace"/>
      </w:pPr>
    </w:p>
    <w:tbl>
      <w:tblPr>
        <w:tblW w:w="9360" w:type="dxa"/>
        <w:tblLook w:val="0000" w:firstRow="0" w:lastRow="0" w:firstColumn="0" w:lastColumn="0" w:noHBand="0" w:noVBand="0"/>
      </w:tblPr>
      <w:tblGrid>
        <w:gridCol w:w="8122"/>
        <w:gridCol w:w="1238"/>
      </w:tblGrid>
      <w:tr w:rsidR="00512EFE" w:rsidRPr="00C7263A" w14:paraId="6664421B" w14:textId="77777777" w:rsidTr="008A0F53">
        <w:tblPrEx>
          <w:tblCellMar>
            <w:top w:w="0" w:type="dxa"/>
            <w:bottom w:w="0" w:type="dxa"/>
          </w:tblCellMar>
        </w:tblPrEx>
        <w:trPr>
          <w:cantSplit/>
        </w:trPr>
        <w:tc>
          <w:tcPr>
            <w:tcW w:w="8122" w:type="dxa"/>
            <w:shd w:val="clear" w:color="auto" w:fill="1D73D6"/>
          </w:tcPr>
          <w:p w14:paraId="415F964E" w14:textId="77777777" w:rsidR="00512EFE" w:rsidRPr="00C7263A" w:rsidRDefault="00512EFE" w:rsidP="008A0F53">
            <w:pPr>
              <w:pStyle w:val="chead1"/>
            </w:pPr>
            <w:bookmarkStart w:id="5" w:name="_Toc199244414"/>
            <w:r w:rsidRPr="00C7263A">
              <w:t>210.000</w:t>
            </w:r>
            <w:r w:rsidRPr="00C7263A">
              <w:tab/>
              <w:t>enrollment and caseload management</w:t>
            </w:r>
            <w:bookmarkEnd w:id="5"/>
          </w:p>
        </w:tc>
        <w:tc>
          <w:tcPr>
            <w:tcW w:w="1238" w:type="dxa"/>
            <w:shd w:val="clear" w:color="auto" w:fill="1D73D6"/>
            <w:vAlign w:val="center"/>
          </w:tcPr>
          <w:p w14:paraId="0B160256" w14:textId="77777777" w:rsidR="00512EFE" w:rsidRPr="00C7263A" w:rsidRDefault="00512EFE" w:rsidP="008A0F53">
            <w:pPr>
              <w:pStyle w:val="cDate1"/>
              <w:rPr>
                <w:bCs/>
              </w:rPr>
            </w:pPr>
          </w:p>
        </w:tc>
      </w:tr>
      <w:tr w:rsidR="00512EFE" w:rsidRPr="00C7263A" w14:paraId="59B977A7" w14:textId="77777777" w:rsidTr="008A0F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F48EDBC" w14:textId="77777777" w:rsidR="00512EFE" w:rsidRPr="00C7263A" w:rsidRDefault="00512EFE" w:rsidP="008A0F53">
            <w:pPr>
              <w:pStyle w:val="chead2"/>
            </w:pPr>
            <w:bookmarkStart w:id="6" w:name="_Toc199244415"/>
            <w:r w:rsidRPr="00C7263A">
              <w:t>211.000</w:t>
            </w:r>
            <w:r w:rsidRPr="00C7263A">
              <w:tab/>
              <w:t>Enrollment Eligibility</w:t>
            </w:r>
            <w:bookmarkEnd w:id="6"/>
          </w:p>
        </w:tc>
        <w:tc>
          <w:tcPr>
            <w:tcW w:w="1238" w:type="dxa"/>
            <w:tcBorders>
              <w:top w:val="single" w:sz="2" w:space="0" w:color="FFFFFF"/>
              <w:left w:val="single" w:sz="6" w:space="0" w:color="FFFFFF"/>
              <w:bottom w:val="single" w:sz="2" w:space="0" w:color="FFFFFF"/>
              <w:right w:val="single" w:sz="2" w:space="0" w:color="FFFFFF"/>
            </w:tcBorders>
          </w:tcPr>
          <w:p w14:paraId="1BD51CAA" w14:textId="77777777" w:rsidR="00512EFE" w:rsidRPr="00C7263A" w:rsidRDefault="00512EFE" w:rsidP="008A0F53">
            <w:pPr>
              <w:pStyle w:val="cDate2"/>
            </w:pPr>
            <w:r w:rsidRPr="00C7263A">
              <w:t>1-1-18</w:t>
            </w:r>
          </w:p>
        </w:tc>
      </w:tr>
    </w:tbl>
    <w:p w14:paraId="3B302FF7" w14:textId="77777777" w:rsidR="00512EFE" w:rsidRPr="00C7263A" w:rsidRDefault="00512EFE" w:rsidP="00512EFE">
      <w:pPr>
        <w:pStyle w:val="ctext"/>
      </w:pPr>
      <w:r w:rsidRPr="00C7263A">
        <w:t>To be eligible to enroll in the PCMH program:</w:t>
      </w:r>
    </w:p>
    <w:p w14:paraId="42ACD898" w14:textId="77777777" w:rsidR="00512EFE" w:rsidRPr="00C7263A" w:rsidRDefault="00512EFE" w:rsidP="00512EFE">
      <w:pPr>
        <w:pStyle w:val="CLETTERED"/>
      </w:pPr>
      <w:r w:rsidRPr="00C7263A">
        <w:t>A.</w:t>
      </w:r>
      <w:r w:rsidRPr="00C7263A">
        <w:tab/>
        <w:t>The entity must be a participating practice as defined in Section 200.000.</w:t>
      </w:r>
    </w:p>
    <w:p w14:paraId="7BFE0C18" w14:textId="77777777" w:rsidR="00512EFE" w:rsidRPr="00C7263A" w:rsidRDefault="00512EFE" w:rsidP="00512EFE">
      <w:pPr>
        <w:pStyle w:val="CLETTERED"/>
      </w:pPr>
      <w:r w:rsidRPr="00C7263A">
        <w:t>B.</w:t>
      </w:r>
      <w:r w:rsidRPr="00C7263A">
        <w:tab/>
        <w:t xml:space="preserve">The practice must include PCPs enrolled in the </w:t>
      </w:r>
      <w:proofErr w:type="spellStart"/>
      <w:r w:rsidRPr="00C7263A">
        <w:t>ConnectCare</w:t>
      </w:r>
      <w:proofErr w:type="spellEnd"/>
      <w:r w:rsidRPr="00C7263A">
        <w:t xml:space="preserve"> Primary Care Case Management (PCCM) Program.</w:t>
      </w:r>
    </w:p>
    <w:p w14:paraId="5C22DC7E" w14:textId="77777777" w:rsidR="00512EFE" w:rsidRPr="00C7263A" w:rsidRDefault="00512EFE" w:rsidP="00512EFE">
      <w:pPr>
        <w:pStyle w:val="CLETTERED"/>
      </w:pPr>
      <w:r w:rsidRPr="00C7263A">
        <w:t>C.</w:t>
      </w:r>
      <w:r w:rsidRPr="00C7263A">
        <w:tab/>
        <w:t>The practice may not participate in the PCCM shared savings pilot established under Act 1453 of 2013.</w:t>
      </w:r>
    </w:p>
    <w:p w14:paraId="4071BDA4" w14:textId="77777777" w:rsidR="00512EFE" w:rsidRPr="00C7263A" w:rsidRDefault="00512EFE" w:rsidP="00512EFE">
      <w:pPr>
        <w:pStyle w:val="CLETTERED"/>
      </w:pPr>
      <w:r w:rsidRPr="00C7263A">
        <w:t>D.</w:t>
      </w:r>
      <w:r w:rsidRPr="00C7263A">
        <w:tab/>
        <w:t xml:space="preserve">Beginning in January 2018, practices participating in PCMH should work towards adopting an Electronic Health Record (EHR). The EHR adopted must be one that is certified by </w:t>
      </w:r>
      <w:proofErr w:type="gramStart"/>
      <w:r w:rsidRPr="00C7263A">
        <w:t>Office</w:t>
      </w:r>
      <w:proofErr w:type="gramEnd"/>
      <w:r w:rsidRPr="00C7263A">
        <w:t xml:space="preserve"> of the National Coordinator for Health Information Technology.  Practices should adopt the certified health IT modules which meet the definition of CEHRT according to the timeline and requirements finalized for use in CMS programs supporting certified EHR use. DMS reserves the right to identify and implement EHR metrics in future performance periods.</w:t>
      </w:r>
    </w:p>
    <w:p w14:paraId="66851DAF" w14:textId="77777777" w:rsidR="00512EFE" w:rsidRPr="00C7263A" w:rsidRDefault="00512EFE" w:rsidP="00512EFE">
      <w:pPr>
        <w:pStyle w:val="CLETTERED"/>
      </w:pPr>
      <w:r w:rsidRPr="00C7263A">
        <w:t>E.</w:t>
      </w:r>
      <w:r w:rsidRPr="00C7263A">
        <w:tab/>
        <w:t>The practice must have at least 150 attributed beneficiaries at the time of enrollment.</w:t>
      </w:r>
    </w:p>
    <w:p w14:paraId="1BD0AC00" w14:textId="1A56E669" w:rsidR="00512EFE" w:rsidRPr="00C7263A" w:rsidRDefault="00512EFE" w:rsidP="00512EFE">
      <w:pPr>
        <w:pStyle w:val="CLETTERED"/>
      </w:pPr>
      <w:r w:rsidRPr="00C7263A">
        <w:tab/>
        <w:t xml:space="preserve">DMS may modify the number of attributed beneficiaries required for enrollment based on provider experience and will publish at </w:t>
      </w:r>
      <w:hyperlink r:id="rId11" w:history="1">
        <w:r w:rsidRPr="00C7263A">
          <w:rPr>
            <w:rStyle w:val="Hyperlink"/>
          </w:rPr>
          <w:t>www.paym</w:t>
        </w:r>
        <w:r w:rsidRPr="00C7263A">
          <w:rPr>
            <w:rStyle w:val="Hyperlink"/>
          </w:rPr>
          <w:t>e</w:t>
        </w:r>
        <w:r w:rsidRPr="00C7263A">
          <w:rPr>
            <w:rStyle w:val="Hyperlink"/>
          </w:rPr>
          <w:t>n</w:t>
        </w:r>
        <w:r w:rsidRPr="00C7263A">
          <w:rPr>
            <w:rStyle w:val="Hyperlink"/>
          </w:rPr>
          <w:t>t</w:t>
        </w:r>
        <w:r w:rsidRPr="00C7263A">
          <w:rPr>
            <w:rStyle w:val="Hyperlink"/>
          </w:rPr>
          <w:t>initiative.org</w:t>
        </w:r>
      </w:hyperlink>
      <w:r w:rsidRPr="00C7263A">
        <w:t xml:space="preserve"> any such modification.</w:t>
      </w:r>
      <w:r w:rsidRPr="00C7263A" w:rsidDel="003D0114">
        <w:t xml:space="preserv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12EFE" w:rsidRPr="00C7263A" w14:paraId="6CD243D8" w14:textId="77777777" w:rsidTr="008A0F53">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F634548" w14:textId="77777777" w:rsidR="00512EFE" w:rsidRPr="00C7263A" w:rsidRDefault="00512EFE" w:rsidP="008A0F53">
            <w:pPr>
              <w:pStyle w:val="chead2"/>
            </w:pPr>
            <w:bookmarkStart w:id="7" w:name="_Toc199244416"/>
            <w:r w:rsidRPr="00C7263A">
              <w:t>212.000</w:t>
            </w:r>
            <w:r w:rsidRPr="00C7263A">
              <w:tab/>
              <w:t>Practice Enrollment</w:t>
            </w:r>
            <w:bookmarkEnd w:id="7"/>
          </w:p>
        </w:tc>
        <w:tc>
          <w:tcPr>
            <w:tcW w:w="1238" w:type="dxa"/>
            <w:tcBorders>
              <w:top w:val="single" w:sz="2" w:space="0" w:color="FFFFFF"/>
              <w:left w:val="single" w:sz="6" w:space="0" w:color="FFFFFF"/>
              <w:bottom w:val="single" w:sz="2" w:space="0" w:color="FFFFFF"/>
              <w:right w:val="single" w:sz="2" w:space="0" w:color="FFFFFF"/>
            </w:tcBorders>
          </w:tcPr>
          <w:p w14:paraId="0E65A75D" w14:textId="77777777" w:rsidR="00512EFE" w:rsidRPr="00C7263A" w:rsidRDefault="00C47A91" w:rsidP="008A0F53">
            <w:pPr>
              <w:pStyle w:val="cDate2"/>
            </w:pPr>
            <w:r w:rsidRPr="00C7263A">
              <w:t>8-1-21</w:t>
            </w:r>
          </w:p>
        </w:tc>
      </w:tr>
    </w:tbl>
    <w:p w14:paraId="5981A3FD" w14:textId="77777777" w:rsidR="00E074C7" w:rsidRPr="00C7263A" w:rsidRDefault="00E074C7" w:rsidP="00E074C7">
      <w:pPr>
        <w:pStyle w:val="ctext"/>
      </w:pPr>
      <w:bookmarkStart w:id="8" w:name="_Hlk78206603"/>
      <w:r w:rsidRPr="00C7263A">
        <w:t xml:space="preserve">Enrollment in the PCMH program is voluntary and practices must re-enroll annually.  To enroll, practices must access the </w:t>
      </w:r>
      <w:bookmarkStart w:id="9" w:name="_Hlk78206642"/>
      <w:r w:rsidRPr="00C7263A">
        <w:fldChar w:fldCharType="begin"/>
      </w:r>
      <w:r w:rsidRPr="00C7263A">
        <w:instrText>HYPERLINK "https://qci.mmis.arkansas.gov/"</w:instrText>
      </w:r>
      <w:r w:rsidRPr="00C7263A">
        <w:fldChar w:fldCharType="separate"/>
      </w:r>
      <w:r w:rsidRPr="00C7263A">
        <w:rPr>
          <w:rStyle w:val="Hyperlink"/>
        </w:rPr>
        <w:t>Advanced Health Information Network (AHIN) provider portal</w:t>
      </w:r>
      <w:r w:rsidRPr="00C7263A">
        <w:fldChar w:fldCharType="end"/>
      </w:r>
      <w:bookmarkEnd w:id="9"/>
      <w:r w:rsidRPr="00C7263A">
        <w:t xml:space="preserve"> and submit a complete and accurate Arkansas Medicaid Patient-Centered Medical Home Practice Participation Agreement (DMS-844).</w:t>
      </w:r>
      <w:bookmarkEnd w:id="8"/>
    </w:p>
    <w:p w14:paraId="5D7CF7C0" w14:textId="77777777" w:rsidR="00E074C7" w:rsidRPr="00C7263A" w:rsidRDefault="00E074C7" w:rsidP="00E074C7">
      <w:pPr>
        <w:pStyle w:val="ctext"/>
      </w:pPr>
      <w:r w:rsidRPr="00C7263A">
        <w:t>Once enrolled, a participating PCMH remains in the PCMH program until:</w:t>
      </w:r>
    </w:p>
    <w:p w14:paraId="1E396E99" w14:textId="77777777" w:rsidR="00E074C7" w:rsidRPr="00C7263A" w:rsidRDefault="00E074C7" w:rsidP="00E074C7">
      <w:pPr>
        <w:pStyle w:val="CLETTERED"/>
      </w:pPr>
      <w:r w:rsidRPr="00C7263A">
        <w:t>A.</w:t>
      </w:r>
      <w:r w:rsidRPr="00C7263A">
        <w:tab/>
        <w:t xml:space="preserve">The PCMH </w:t>
      </w:r>
      <w:proofErr w:type="gramStart"/>
      <w:r w:rsidRPr="00C7263A">
        <w:t>withdraws;</w:t>
      </w:r>
      <w:proofErr w:type="gramEnd"/>
    </w:p>
    <w:p w14:paraId="1C54A200" w14:textId="77777777" w:rsidR="00E074C7" w:rsidRPr="00C7263A" w:rsidRDefault="00E074C7" w:rsidP="00E074C7">
      <w:pPr>
        <w:pStyle w:val="CLETTERED"/>
      </w:pPr>
      <w:r w:rsidRPr="00C7263A">
        <w:lastRenderedPageBreak/>
        <w:t>B.</w:t>
      </w:r>
      <w:r w:rsidRPr="00C7263A">
        <w:tab/>
        <w:t>The practice or provider changes ownership, becomes ineligible, is suspended or terminated from the Medicaid program or the PCMH program; or</w:t>
      </w:r>
    </w:p>
    <w:p w14:paraId="75D7993D" w14:textId="77777777" w:rsidR="00E074C7" w:rsidRPr="00C7263A" w:rsidRDefault="00E074C7" w:rsidP="00E074C7">
      <w:pPr>
        <w:pStyle w:val="CLETTERED"/>
      </w:pPr>
      <w:r w:rsidRPr="00C7263A">
        <w:t>C.</w:t>
      </w:r>
      <w:r w:rsidRPr="00C7263A">
        <w:tab/>
        <w:t>DMS terminates the PCMH program.</w:t>
      </w:r>
    </w:p>
    <w:p w14:paraId="6B1E9EB0" w14:textId="77777777" w:rsidR="00E074C7" w:rsidRPr="00C7263A" w:rsidRDefault="00E074C7" w:rsidP="00E074C7">
      <w:pPr>
        <w:pStyle w:val="ctext"/>
      </w:pPr>
      <w:r w:rsidRPr="00C7263A">
        <w:t xml:space="preserve">A physician may be affiliated with only one participating practice.  </w:t>
      </w:r>
      <w:proofErr w:type="gramStart"/>
      <w:r w:rsidRPr="00C7263A">
        <w:t>A participating</w:t>
      </w:r>
      <w:proofErr w:type="gramEnd"/>
      <w:r w:rsidRPr="00C7263A">
        <w:t xml:space="preserve"> practice must update the Department of Human Services (DHS) on changes to the list of physicians who are part of the practice.  Physicians who are no longer participating with a practice are required to update in writing via email with the </w:t>
      </w:r>
      <w:hyperlink r:id="rId12" w:history="1">
        <w:r w:rsidRPr="00C7263A">
          <w:rPr>
            <w:rStyle w:val="Hyperlink"/>
          </w:rPr>
          <w:t>Fiscal Contractor</w:t>
        </w:r>
      </w:hyperlink>
      <w:r w:rsidRPr="00C7263A">
        <w:t xml:space="preserve"> within thirty (30) days of the change.</w:t>
      </w:r>
    </w:p>
    <w:p w14:paraId="10BAA493" w14:textId="77777777" w:rsidR="00E074C7" w:rsidRPr="00C7263A" w:rsidRDefault="00E074C7" w:rsidP="00E074C7">
      <w:pPr>
        <w:pStyle w:val="ctext"/>
      </w:pPr>
      <w:r w:rsidRPr="00C7263A">
        <w:t xml:space="preserve">All practice site locations associated with </w:t>
      </w:r>
      <w:proofErr w:type="gramStart"/>
      <w:r w:rsidRPr="00C7263A">
        <w:t>a PCMH</w:t>
      </w:r>
      <w:proofErr w:type="gramEnd"/>
      <w:r w:rsidRPr="00C7263A">
        <w:t xml:space="preserve"> must be listed on the PCMH Program enrollment application. Each site listed on the enrollment application must complete practice support requirements as described in Section 241.000.  If a site does not meet deadlines and targets for activities tracked for practice support, then the site must remediate its performance to avoid suspension or termination of practice support for the entire PCMH.</w:t>
      </w:r>
    </w:p>
    <w:p w14:paraId="63485EC3" w14:textId="650FC39D" w:rsidR="00E074C7" w:rsidRPr="00C7263A" w:rsidRDefault="00E074C7" w:rsidP="00E074C7">
      <w:pPr>
        <w:pStyle w:val="ctext"/>
      </w:pPr>
      <w:r w:rsidRPr="00C7263A">
        <w:t xml:space="preserve">To withdraw from the PCMH program, the participating practice must email a complete and accurate Arkansas Patient-Centered Medical Home Withdrawal Form (DMS-846) to the </w:t>
      </w:r>
      <w:hyperlink r:id="rId13" w:history="1">
        <w:r w:rsidRPr="00C7263A">
          <w:rPr>
            <w:rStyle w:val="Hyperlink"/>
          </w:rPr>
          <w:t>Fiscal Contractor</w:t>
        </w:r>
      </w:hyperlink>
      <w:r w:rsidRPr="00C7263A">
        <w:t xml:space="preserve">.  View or print the Arkansas Patient-Centered Medical Home Withdrawal Form (DMS-846) on the </w:t>
      </w:r>
      <w:hyperlink r:id="rId14" w:history="1">
        <w:r w:rsidRPr="00C7263A">
          <w:rPr>
            <w:rStyle w:val="Hyperlink"/>
          </w:rPr>
          <w:t>APII website</w:t>
        </w:r>
      </w:hyperlink>
      <w:r w:rsidRPr="00C7263A">
        <w:rPr>
          <w:rStyle w:val="Hyperlink"/>
          <w:b w:val="0"/>
          <w:u w:val="none"/>
        </w:rPr>
        <w:t xml:space="preserve"> </w:t>
      </w:r>
      <w:hyperlink w:history="1"/>
      <w:r w:rsidRPr="00C7263A">
        <w:t>or download the form from the AHIN provider portal.</w:t>
      </w:r>
    </w:p>
    <w:p w14:paraId="6A6843FE" w14:textId="77777777" w:rsidR="00E074C7" w:rsidRPr="00C7263A" w:rsidRDefault="00E074C7" w:rsidP="00E074C7">
      <w:pPr>
        <w:pStyle w:val="ctext"/>
      </w:pPr>
      <w:proofErr w:type="gramStart"/>
      <w:r w:rsidRPr="00C7263A">
        <w:t>A practice</w:t>
      </w:r>
      <w:proofErr w:type="gramEnd"/>
      <w:r w:rsidRPr="00C7263A">
        <w:t xml:space="preserve"> may return to the PCMH Program beginning on the first day of the following performance year (January 1st) after suspension or termination of practice support.  Such </w:t>
      </w:r>
      <w:proofErr w:type="gramStart"/>
      <w:r w:rsidRPr="00C7263A">
        <w:t>application</w:t>
      </w:r>
      <w:proofErr w:type="gramEnd"/>
      <w:r w:rsidRPr="00C7263A">
        <w:t xml:space="preserve"> for reinstatement is contingent on documentation of </w:t>
      </w:r>
      <w:proofErr w:type="gramStart"/>
      <w:r w:rsidRPr="00C7263A">
        <w:t>successful</w:t>
      </w:r>
      <w:proofErr w:type="gramEnd"/>
      <w:r w:rsidRPr="00C7263A">
        <w:t xml:space="preserve"> implementation of all previously deficient requirements and upon meeting the following requirements:</w:t>
      </w:r>
    </w:p>
    <w:p w14:paraId="3D05495B" w14:textId="77777777" w:rsidR="00E074C7" w:rsidRPr="00C7263A" w:rsidRDefault="00E074C7" w:rsidP="00E074C7">
      <w:pPr>
        <w:pStyle w:val="CLETTERED"/>
      </w:pPr>
      <w:r w:rsidRPr="00C7263A">
        <w:t>A.</w:t>
      </w:r>
      <w:r w:rsidRPr="00C7263A">
        <w:tab/>
        <w:t>Submitting a complete PCMH Program enrollment application during the designated enrollment period</w:t>
      </w:r>
    </w:p>
    <w:p w14:paraId="0EDBF8FC" w14:textId="77777777" w:rsidR="00E074C7" w:rsidRPr="00C7263A" w:rsidRDefault="00E074C7" w:rsidP="00E074C7">
      <w:pPr>
        <w:pStyle w:val="CLETTERED"/>
      </w:pPr>
      <w:r w:rsidRPr="00C7263A">
        <w:t>B.</w:t>
      </w:r>
      <w:r w:rsidRPr="00C7263A">
        <w:tab/>
        <w:t xml:space="preserve">Successful implementation of the activity(s) which the practice </w:t>
      </w:r>
      <w:proofErr w:type="gramStart"/>
      <w:r w:rsidRPr="00C7263A">
        <w:t>failed</w:t>
      </w:r>
      <w:proofErr w:type="gramEnd"/>
      <w:r w:rsidRPr="00C7263A">
        <w:t xml:space="preserve"> and which resulted in suspension or termination from the program</w:t>
      </w:r>
    </w:p>
    <w:p w14:paraId="27EB959E" w14:textId="77777777" w:rsidR="00512EFE" w:rsidRPr="00C7263A" w:rsidRDefault="00E074C7" w:rsidP="00512EFE">
      <w:pPr>
        <w:pStyle w:val="ctext"/>
      </w:pPr>
      <w:r w:rsidRPr="00C7263A">
        <w:t xml:space="preserve">Practices who withdraw while on remediation will also have to meet the re-instatement requirements.  </w:t>
      </w:r>
      <w:proofErr w:type="gramStart"/>
      <w:r w:rsidRPr="00C7263A">
        <w:t>Successful implementation of the activity(s) will be determined by the Quality Assurance Team</w:t>
      </w:r>
      <w:proofErr w:type="gramEnd"/>
      <w:r w:rsidRPr="00C7263A">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66608" w:rsidRPr="00C7263A" w14:paraId="71B1488F" w14:textId="77777777" w:rsidTr="00D65034">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3D79F79" w14:textId="77777777" w:rsidR="00666608" w:rsidRPr="00C7263A" w:rsidRDefault="00666608" w:rsidP="00D65034">
            <w:pPr>
              <w:pStyle w:val="chead2"/>
            </w:pPr>
            <w:bookmarkStart w:id="10" w:name="_Toc199244417"/>
            <w:r w:rsidRPr="00C7263A">
              <w:t>213.000</w:t>
            </w:r>
            <w:r w:rsidRPr="00C7263A">
              <w:tab/>
              <w:t>Enrollment Schedule</w:t>
            </w:r>
            <w:bookmarkEnd w:id="10"/>
          </w:p>
        </w:tc>
        <w:tc>
          <w:tcPr>
            <w:tcW w:w="1238" w:type="dxa"/>
            <w:tcBorders>
              <w:top w:val="single" w:sz="2" w:space="0" w:color="FFFFFF"/>
              <w:left w:val="single" w:sz="6" w:space="0" w:color="FFFFFF"/>
              <w:bottom w:val="single" w:sz="2" w:space="0" w:color="FFFFFF"/>
              <w:right w:val="single" w:sz="2" w:space="0" w:color="FFFFFF"/>
            </w:tcBorders>
          </w:tcPr>
          <w:p w14:paraId="520DACF6" w14:textId="77777777" w:rsidR="00666608" w:rsidRPr="00C7263A" w:rsidRDefault="00666608" w:rsidP="00D65034">
            <w:pPr>
              <w:pStyle w:val="cDate2"/>
            </w:pPr>
            <w:r w:rsidRPr="00C7263A">
              <w:t>1-1-19</w:t>
            </w:r>
          </w:p>
        </w:tc>
      </w:tr>
    </w:tbl>
    <w:p w14:paraId="39398512" w14:textId="77777777" w:rsidR="00666608" w:rsidRPr="00C7263A" w:rsidRDefault="00666608" w:rsidP="00666608">
      <w:pPr>
        <w:pStyle w:val="ctext"/>
      </w:pPr>
      <w:r w:rsidRPr="00C7263A">
        <w:t>Enrollment is open for approximately six (6) weeks in Quarter 3 and Quarter 4 of the preceding calendar year.</w:t>
      </w:r>
    </w:p>
    <w:p w14:paraId="6EB2C566" w14:textId="77777777" w:rsidR="00E06939" w:rsidRPr="00C7263A" w:rsidRDefault="00666608" w:rsidP="00666608">
      <w:pPr>
        <w:pStyle w:val="ctext"/>
      </w:pPr>
      <w:r w:rsidRPr="00C7263A">
        <w:t>DMS will not accept any enrollment documents received other than during an enrollment period.</w:t>
      </w:r>
    </w:p>
    <w:tbl>
      <w:tblPr>
        <w:tblW w:w="94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4"/>
        <w:gridCol w:w="1238"/>
      </w:tblGrid>
      <w:tr w:rsidR="00E06939" w:rsidRPr="00C7263A" w14:paraId="2033D55A" w14:textId="77777777" w:rsidTr="004B13F0">
        <w:tblPrEx>
          <w:tblCellMar>
            <w:top w:w="0" w:type="dxa"/>
            <w:bottom w:w="0" w:type="dxa"/>
          </w:tblCellMar>
        </w:tblPrEx>
        <w:trPr>
          <w:cantSplit/>
        </w:trPr>
        <w:tc>
          <w:tcPr>
            <w:tcW w:w="8194" w:type="dxa"/>
            <w:tcBorders>
              <w:top w:val="single" w:sz="2" w:space="0" w:color="FFFFFF"/>
              <w:left w:val="single" w:sz="2" w:space="0" w:color="FFFFFF"/>
              <w:bottom w:val="single" w:sz="2" w:space="0" w:color="FFFFFF"/>
              <w:right w:val="single" w:sz="6" w:space="0" w:color="FFFFFF"/>
            </w:tcBorders>
          </w:tcPr>
          <w:p w14:paraId="5B4BCD4B" w14:textId="77777777" w:rsidR="00E06939" w:rsidRPr="00C7263A" w:rsidRDefault="00E06939" w:rsidP="004B13F0">
            <w:pPr>
              <w:pStyle w:val="chead2"/>
            </w:pPr>
            <w:bookmarkStart w:id="11" w:name="_Toc199244418"/>
            <w:r w:rsidRPr="00C7263A">
              <w:t>214.000</w:t>
            </w:r>
            <w:r w:rsidRPr="00C7263A">
              <w:tab/>
              <w:t>Caseload Management</w:t>
            </w:r>
            <w:bookmarkEnd w:id="11"/>
          </w:p>
        </w:tc>
        <w:tc>
          <w:tcPr>
            <w:tcW w:w="1238" w:type="dxa"/>
            <w:tcBorders>
              <w:top w:val="single" w:sz="2" w:space="0" w:color="FFFFFF"/>
              <w:left w:val="single" w:sz="6" w:space="0" w:color="FFFFFF"/>
              <w:bottom w:val="single" w:sz="2" w:space="0" w:color="FFFFFF"/>
              <w:right w:val="single" w:sz="2" w:space="0" w:color="FFFFFF"/>
            </w:tcBorders>
          </w:tcPr>
          <w:p w14:paraId="060F9E2D" w14:textId="77777777" w:rsidR="00E06939" w:rsidRPr="00C7263A" w:rsidRDefault="00E06939" w:rsidP="004B13F0">
            <w:pPr>
              <w:pStyle w:val="cDate2"/>
            </w:pPr>
            <w:r w:rsidRPr="00C7263A">
              <w:t>1-1-16</w:t>
            </w:r>
          </w:p>
        </w:tc>
      </w:tr>
    </w:tbl>
    <w:p w14:paraId="7F8CAF97" w14:textId="77777777" w:rsidR="00E06939" w:rsidRPr="00C7263A" w:rsidRDefault="00E06939" w:rsidP="00E06939">
      <w:pPr>
        <w:pStyle w:val="ctext"/>
      </w:pPr>
      <w:r w:rsidRPr="00C7263A">
        <w:t xml:space="preserve">A participating practice must manage its caseload of attributed beneficiaries, including removal of a beneficiary from its panel.  DMS retains the right to disallow beneficiary removals if it was determined it was done so to dismiss high costs and/or high-risk patients from the panel. </w:t>
      </w:r>
    </w:p>
    <w:p w14:paraId="53392226" w14:textId="77777777" w:rsidR="00FB5836" w:rsidRPr="00C7263A" w:rsidRDefault="00FB5836" w:rsidP="00FB5836">
      <w:pPr>
        <w:pStyle w:val="ctext"/>
      </w:pPr>
    </w:p>
    <w:tbl>
      <w:tblPr>
        <w:tblW w:w="9360" w:type="dxa"/>
        <w:tblLook w:val="0000" w:firstRow="0" w:lastRow="0" w:firstColumn="0" w:lastColumn="0" w:noHBand="0" w:noVBand="0"/>
      </w:tblPr>
      <w:tblGrid>
        <w:gridCol w:w="7920"/>
        <w:gridCol w:w="202"/>
        <w:gridCol w:w="1009"/>
        <w:gridCol w:w="229"/>
      </w:tblGrid>
      <w:tr w:rsidR="00512EFE" w:rsidRPr="00C7263A" w14:paraId="2F15176F" w14:textId="77777777" w:rsidTr="00666608">
        <w:tblPrEx>
          <w:tblCellMar>
            <w:top w:w="0" w:type="dxa"/>
            <w:bottom w:w="0" w:type="dxa"/>
          </w:tblCellMar>
        </w:tblPrEx>
        <w:trPr>
          <w:gridAfter w:val="1"/>
          <w:wAfter w:w="229" w:type="dxa"/>
          <w:cantSplit/>
        </w:trPr>
        <w:tc>
          <w:tcPr>
            <w:tcW w:w="7920" w:type="dxa"/>
            <w:shd w:val="clear" w:color="auto" w:fill="1D73D6"/>
          </w:tcPr>
          <w:p w14:paraId="51DFF407" w14:textId="77777777" w:rsidR="00512EFE" w:rsidRPr="00C7263A" w:rsidRDefault="00512EFE" w:rsidP="008A0F53">
            <w:pPr>
              <w:pStyle w:val="chead1"/>
              <w:outlineLvl w:val="0"/>
            </w:pPr>
            <w:bookmarkStart w:id="12" w:name="_Toc199244419"/>
            <w:r w:rsidRPr="00C7263A">
              <w:t>220.000</w:t>
            </w:r>
            <w:r w:rsidRPr="00C7263A">
              <w:tab/>
              <w:t>practice support</w:t>
            </w:r>
            <w:bookmarkEnd w:id="12"/>
          </w:p>
        </w:tc>
        <w:tc>
          <w:tcPr>
            <w:tcW w:w="1211" w:type="dxa"/>
            <w:gridSpan w:val="2"/>
            <w:shd w:val="clear" w:color="auto" w:fill="1D73D6"/>
            <w:vAlign w:val="center"/>
          </w:tcPr>
          <w:p w14:paraId="17A1A3C9" w14:textId="77777777" w:rsidR="00512EFE" w:rsidRPr="00C7263A" w:rsidRDefault="00512EFE" w:rsidP="008A0F53">
            <w:pPr>
              <w:pStyle w:val="cDate1"/>
              <w:outlineLvl w:val="0"/>
              <w:rPr>
                <w:bCs/>
              </w:rPr>
            </w:pPr>
          </w:p>
        </w:tc>
      </w:tr>
      <w:tr w:rsidR="00666608" w:rsidRPr="00C7263A" w14:paraId="5E20E8CB" w14:textId="77777777" w:rsidTr="00666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gridSpan w:val="2"/>
            <w:tcBorders>
              <w:top w:val="single" w:sz="2" w:space="0" w:color="FFFFFF"/>
              <w:left w:val="single" w:sz="2" w:space="0" w:color="FFFFFF"/>
              <w:bottom w:val="single" w:sz="2" w:space="0" w:color="FFFFFF"/>
              <w:right w:val="single" w:sz="6" w:space="0" w:color="FFFFFF"/>
            </w:tcBorders>
          </w:tcPr>
          <w:p w14:paraId="5730C6C1" w14:textId="77777777" w:rsidR="00666608" w:rsidRPr="00C7263A" w:rsidRDefault="00666608" w:rsidP="00D65034">
            <w:pPr>
              <w:pStyle w:val="chead2"/>
            </w:pPr>
            <w:bookmarkStart w:id="13" w:name="_Toc199244420"/>
            <w:r w:rsidRPr="00C7263A">
              <w:t>221.000</w:t>
            </w:r>
            <w:r w:rsidRPr="00C7263A">
              <w:tab/>
              <w:t>Practice Support Scope</w:t>
            </w:r>
            <w:bookmarkEnd w:id="13"/>
          </w:p>
        </w:tc>
        <w:tc>
          <w:tcPr>
            <w:tcW w:w="1238" w:type="dxa"/>
            <w:gridSpan w:val="2"/>
            <w:tcBorders>
              <w:top w:val="single" w:sz="2" w:space="0" w:color="FFFFFF"/>
              <w:left w:val="single" w:sz="6" w:space="0" w:color="FFFFFF"/>
              <w:bottom w:val="single" w:sz="2" w:space="0" w:color="FFFFFF"/>
              <w:right w:val="single" w:sz="2" w:space="0" w:color="FFFFFF"/>
            </w:tcBorders>
          </w:tcPr>
          <w:p w14:paraId="0545B442" w14:textId="77777777" w:rsidR="00666608" w:rsidRPr="00C7263A" w:rsidRDefault="00666608" w:rsidP="00D65034">
            <w:pPr>
              <w:pStyle w:val="cDate2"/>
            </w:pPr>
            <w:r w:rsidRPr="00C7263A">
              <w:t>1-1-19</w:t>
            </w:r>
          </w:p>
        </w:tc>
      </w:tr>
    </w:tbl>
    <w:p w14:paraId="2F8FA304" w14:textId="77777777" w:rsidR="00666608" w:rsidRPr="00C7263A" w:rsidRDefault="00666608" w:rsidP="00666608">
      <w:pPr>
        <w:pStyle w:val="ctext"/>
      </w:pPr>
      <w:r w:rsidRPr="00C7263A">
        <w:t xml:space="preserve">Practice support is </w:t>
      </w:r>
      <w:proofErr w:type="gramStart"/>
      <w:r w:rsidRPr="00C7263A">
        <w:t>care</w:t>
      </w:r>
      <w:proofErr w:type="gramEnd"/>
      <w:r w:rsidRPr="00C7263A">
        <w:t xml:space="preserve"> coordination payments made to a PCMH to support the practices’ transformations.</w:t>
      </w:r>
    </w:p>
    <w:p w14:paraId="346DA02E" w14:textId="77777777" w:rsidR="00666608" w:rsidRPr="00C7263A" w:rsidRDefault="00666608" w:rsidP="00666608">
      <w:pPr>
        <w:pStyle w:val="ctext"/>
      </w:pPr>
      <w:r w:rsidRPr="00C7263A">
        <w:t xml:space="preserve">Receipt and use of the care coordination payments is not conditioned on the PCMH engaging a care coordination vendor, as payment can be used to support participating practices’ </w:t>
      </w:r>
      <w:r w:rsidRPr="00C7263A">
        <w:lastRenderedPageBreak/>
        <w:t>investments (e.g., time and energy) in enacting changes to achieve PCMH goals.  Care coordination payments are risk-adjusted to account for the varying levels of care coordination services needed for beneficiaries with different risk profiles.</w:t>
      </w:r>
    </w:p>
    <w:p w14:paraId="6CA6C260" w14:textId="77777777" w:rsidR="00666608" w:rsidRPr="00C7263A" w:rsidRDefault="00666608" w:rsidP="00666608">
      <w:pPr>
        <w:pStyle w:val="ctext"/>
      </w:pPr>
      <w:r w:rsidRPr="00C7263A">
        <w:t xml:space="preserve">DMS may pay, </w:t>
      </w:r>
      <w:proofErr w:type="gramStart"/>
      <w:r w:rsidRPr="00C7263A">
        <w:t>recover</w:t>
      </w:r>
      <w:proofErr w:type="gramEnd"/>
      <w:r w:rsidRPr="00C7263A">
        <w:t xml:space="preserve"> or offset overpayment or underpayment of</w:t>
      </w:r>
      <w:r w:rsidRPr="00C7263A">
        <w:rPr>
          <w:i/>
        </w:rPr>
        <w:t xml:space="preserve"> </w:t>
      </w:r>
      <w:r w:rsidRPr="00C7263A">
        <w:t>care coordination payments.</w:t>
      </w:r>
    </w:p>
    <w:p w14:paraId="547BC985" w14:textId="77777777" w:rsidR="00E06939" w:rsidRPr="00C7263A" w:rsidRDefault="00666608" w:rsidP="00666608">
      <w:pPr>
        <w:pStyle w:val="ctext"/>
      </w:pPr>
      <w:r w:rsidRPr="00C7263A">
        <w:t>DMS will also support PCMHs through improved access to information through the reports described in Section 244.000.</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66608" w:rsidRPr="00C7263A" w14:paraId="688B3BD9" w14:textId="77777777" w:rsidTr="00D65034">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BEEDBD8" w14:textId="77777777" w:rsidR="00666608" w:rsidRPr="00C7263A" w:rsidRDefault="00666608" w:rsidP="00D65034">
            <w:pPr>
              <w:pStyle w:val="chead2"/>
            </w:pPr>
            <w:bookmarkStart w:id="14" w:name="_Toc199244421"/>
            <w:r w:rsidRPr="00C7263A">
              <w:t>222.000</w:t>
            </w:r>
            <w:r w:rsidRPr="00C7263A">
              <w:tab/>
              <w:t>Practice Support Eligibility</w:t>
            </w:r>
            <w:bookmarkEnd w:id="14"/>
          </w:p>
        </w:tc>
        <w:tc>
          <w:tcPr>
            <w:tcW w:w="1238" w:type="dxa"/>
            <w:tcBorders>
              <w:top w:val="single" w:sz="2" w:space="0" w:color="FFFFFF"/>
              <w:left w:val="single" w:sz="6" w:space="0" w:color="FFFFFF"/>
              <w:bottom w:val="single" w:sz="2" w:space="0" w:color="FFFFFF"/>
              <w:right w:val="single" w:sz="2" w:space="0" w:color="FFFFFF"/>
            </w:tcBorders>
          </w:tcPr>
          <w:p w14:paraId="0574AFDC" w14:textId="77777777" w:rsidR="00666608" w:rsidRPr="00C7263A" w:rsidRDefault="00666608" w:rsidP="00D65034">
            <w:pPr>
              <w:pStyle w:val="cDate2"/>
            </w:pPr>
            <w:r w:rsidRPr="00C7263A">
              <w:t>1-1-19</w:t>
            </w:r>
          </w:p>
        </w:tc>
      </w:tr>
    </w:tbl>
    <w:p w14:paraId="4083E520" w14:textId="77777777" w:rsidR="00666608" w:rsidRPr="00C7263A" w:rsidRDefault="00666608" w:rsidP="00666608">
      <w:pPr>
        <w:pStyle w:val="ctext"/>
      </w:pPr>
      <w:r w:rsidRPr="00C7263A">
        <w:t xml:space="preserve">In addition to the enrollment eligibility requirements listed in Section 211.000, </w:t>
      </w:r>
      <w:proofErr w:type="gramStart"/>
      <w:r w:rsidRPr="00C7263A">
        <w:t>in order for</w:t>
      </w:r>
      <w:proofErr w:type="gramEnd"/>
      <w:r w:rsidRPr="00C7263A">
        <w:t xml:space="preserve"> PCMHs to receive practice support, DMS measures PCMH performance against activities tracked for practice support identified in Section 241.000.  PCMHs must meet the requirements of this section to receive practice support.</w:t>
      </w:r>
    </w:p>
    <w:p w14:paraId="1EF9C8AE" w14:textId="77777777" w:rsidR="00E06939" w:rsidRPr="00C7263A" w:rsidRDefault="00666608" w:rsidP="00666608">
      <w:pPr>
        <w:pStyle w:val="ctext"/>
      </w:pPr>
      <w:r w:rsidRPr="00C7263A">
        <w:t>Each PCMH in a shared performance entity will, if individually qualified, receive practice support even if another PCMH in a shared performance entity does not qualify for practice support.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12EFE" w:rsidRPr="00C7263A" w14:paraId="19D6BEB1" w14:textId="77777777" w:rsidTr="008A0F53">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F947CB2" w14:textId="77777777" w:rsidR="00512EFE" w:rsidRPr="00C7263A" w:rsidRDefault="00512EFE" w:rsidP="008A0F53">
            <w:pPr>
              <w:pStyle w:val="chead2"/>
            </w:pPr>
            <w:bookmarkStart w:id="15" w:name="_Toc199244422"/>
            <w:r w:rsidRPr="00C7263A">
              <w:t>223.000</w:t>
            </w:r>
            <w:r w:rsidRPr="00C7263A">
              <w:tab/>
              <w:t>Care Coordination Payment Amount</w:t>
            </w:r>
            <w:bookmarkEnd w:id="15"/>
          </w:p>
        </w:tc>
        <w:tc>
          <w:tcPr>
            <w:tcW w:w="1238" w:type="dxa"/>
            <w:tcBorders>
              <w:top w:val="single" w:sz="2" w:space="0" w:color="FFFFFF"/>
              <w:left w:val="single" w:sz="6" w:space="0" w:color="FFFFFF"/>
              <w:bottom w:val="single" w:sz="2" w:space="0" w:color="FFFFFF"/>
              <w:right w:val="single" w:sz="2" w:space="0" w:color="FFFFFF"/>
            </w:tcBorders>
          </w:tcPr>
          <w:p w14:paraId="2E80AF6D" w14:textId="77777777" w:rsidR="00512EFE" w:rsidRPr="00C7263A" w:rsidRDefault="00512EFE" w:rsidP="008A0F53">
            <w:pPr>
              <w:pStyle w:val="cDate2"/>
            </w:pPr>
            <w:r w:rsidRPr="00C7263A">
              <w:t>1-1-18</w:t>
            </w:r>
          </w:p>
        </w:tc>
      </w:tr>
    </w:tbl>
    <w:p w14:paraId="5E5E5AD3" w14:textId="77777777" w:rsidR="00512EFE" w:rsidRPr="00C7263A" w:rsidRDefault="00512EFE" w:rsidP="00512EFE">
      <w:pPr>
        <w:pStyle w:val="ctext"/>
      </w:pPr>
      <w:r w:rsidRPr="00C7263A">
        <w:t xml:space="preserve">The care coordination payment is risk adjusted based on factors including demographics (age, sex), diagnoses and utilization.  DMS will publish the current payment scale on the APII website at </w:t>
      </w:r>
      <w:r w:rsidRPr="00C7263A">
        <w:rPr>
          <w:b/>
        </w:rPr>
        <w:fldChar w:fldCharType="begin"/>
      </w:r>
      <w:r w:rsidR="00AA5383" w:rsidRPr="00C7263A">
        <w:rPr>
          <w:b/>
        </w:rPr>
        <w:instrText>HYPERLINK "https://humanservices.arkansas.gov/divisions-shared-services/medical-services/helpful-information-for-providers/patient-centered-medical-home/"</w:instrText>
      </w:r>
      <w:r w:rsidR="00AA5383" w:rsidRPr="00C7263A">
        <w:rPr>
          <w:b/>
        </w:rPr>
      </w:r>
      <w:r w:rsidRPr="00C7263A">
        <w:rPr>
          <w:b/>
        </w:rPr>
        <w:fldChar w:fldCharType="separate"/>
      </w:r>
      <w:r w:rsidRPr="00C7263A">
        <w:rPr>
          <w:rStyle w:val="Hyperlink"/>
        </w:rPr>
        <w:t>http://www.paymentinitiative.org/pcmh-manual-and-additional-resources</w:t>
      </w:r>
      <w:r w:rsidRPr="00C7263A">
        <w:rPr>
          <w:b/>
        </w:rPr>
        <w:fldChar w:fldCharType="end"/>
      </w:r>
      <w:r w:rsidRPr="00C7263A">
        <w:t>.</w:t>
      </w:r>
    </w:p>
    <w:p w14:paraId="64CF3847" w14:textId="77777777" w:rsidR="00512EFE" w:rsidRPr="00C7263A" w:rsidRDefault="00512EFE" w:rsidP="00512EFE">
      <w:pPr>
        <w:pStyle w:val="ctext"/>
      </w:pPr>
      <w:r w:rsidRPr="00C7263A">
        <w:t xml:space="preserve">After each quarter, DMS may pay, </w:t>
      </w:r>
      <w:proofErr w:type="gramStart"/>
      <w:r w:rsidRPr="00C7263A">
        <w:t>recover</w:t>
      </w:r>
      <w:proofErr w:type="gramEnd"/>
      <w:r w:rsidRPr="00C7263A">
        <w:t xml:space="preserve"> or offset the care coordination payments to ensure that a PCMH did not receive a care coordination payment for any beneficiary who died, lost eligibility or if the practice lost eligibility during the quarter.</w:t>
      </w:r>
    </w:p>
    <w:p w14:paraId="7CAEDDA5" w14:textId="77777777" w:rsidR="00512EFE" w:rsidRPr="00C7263A" w:rsidRDefault="00512EFE" w:rsidP="00512EFE">
      <w:pPr>
        <w:pStyle w:val="ctext"/>
      </w:pPr>
      <w:r w:rsidRPr="00C7263A">
        <w:t>If a PCMH withdraws from the PCMH program, then the PCMH is only eligible for care coordination payments based on a complete quarter’s participation in the PCMH program.</w:t>
      </w:r>
    </w:p>
    <w:p w14:paraId="5B7A0BAF" w14:textId="77777777" w:rsidR="00512EFE" w:rsidRPr="00C7263A" w:rsidRDefault="00512EFE" w:rsidP="00512EFE">
      <w:pPr>
        <w:pStyle w:val="ctext"/>
      </w:pPr>
    </w:p>
    <w:tbl>
      <w:tblPr>
        <w:tblW w:w="9360" w:type="dxa"/>
        <w:tblLook w:val="0000" w:firstRow="0" w:lastRow="0" w:firstColumn="0" w:lastColumn="0" w:noHBand="0" w:noVBand="0"/>
      </w:tblPr>
      <w:tblGrid>
        <w:gridCol w:w="8122"/>
        <w:gridCol w:w="1238"/>
      </w:tblGrid>
      <w:tr w:rsidR="00666608" w:rsidRPr="00C7263A" w14:paraId="2BC55455" w14:textId="77777777" w:rsidTr="0087372C">
        <w:tblPrEx>
          <w:tblCellMar>
            <w:top w:w="0" w:type="dxa"/>
            <w:bottom w:w="0" w:type="dxa"/>
          </w:tblCellMar>
        </w:tblPrEx>
        <w:trPr>
          <w:cantSplit/>
        </w:trPr>
        <w:tc>
          <w:tcPr>
            <w:tcW w:w="8122" w:type="dxa"/>
            <w:shd w:val="clear" w:color="auto" w:fill="1D73D6"/>
          </w:tcPr>
          <w:p w14:paraId="741F2571" w14:textId="77777777" w:rsidR="00666608" w:rsidRPr="00C7263A" w:rsidRDefault="00666608" w:rsidP="00666608">
            <w:pPr>
              <w:pStyle w:val="chead1"/>
              <w:outlineLvl w:val="0"/>
            </w:pPr>
            <w:bookmarkStart w:id="16" w:name="_Toc199244423"/>
            <w:r w:rsidRPr="00C7263A">
              <w:t>230.000</w:t>
            </w:r>
            <w:r w:rsidRPr="00C7263A">
              <w:tab/>
              <w:t>Performance-based incentive payments (PBIP)</w:t>
            </w:r>
            <w:bookmarkEnd w:id="16"/>
          </w:p>
        </w:tc>
        <w:tc>
          <w:tcPr>
            <w:tcW w:w="1238" w:type="dxa"/>
            <w:shd w:val="clear" w:color="auto" w:fill="1D73D6"/>
            <w:vAlign w:val="center"/>
          </w:tcPr>
          <w:p w14:paraId="69EC5D54" w14:textId="77777777" w:rsidR="00666608" w:rsidRPr="00C7263A" w:rsidRDefault="00666608" w:rsidP="00666608">
            <w:pPr>
              <w:pStyle w:val="cDate1"/>
              <w:outlineLvl w:val="0"/>
              <w:rPr>
                <w:bCs/>
              </w:rPr>
            </w:pPr>
          </w:p>
        </w:tc>
      </w:tr>
      <w:tr w:rsidR="00666608" w:rsidRPr="00C7263A" w14:paraId="73283B5F" w14:textId="77777777" w:rsidTr="00D65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4C40FB2C" w14:textId="77777777" w:rsidR="00666608" w:rsidRPr="00C7263A" w:rsidRDefault="00666608" w:rsidP="00D65034">
            <w:pPr>
              <w:pStyle w:val="chead2"/>
            </w:pPr>
            <w:bookmarkStart w:id="17" w:name="_Toc199244424"/>
            <w:r w:rsidRPr="00C7263A">
              <w:t>231.000</w:t>
            </w:r>
            <w:r w:rsidRPr="00C7263A">
              <w:tab/>
              <w:t>Performance-Based Incentive Payments</w:t>
            </w:r>
            <w:bookmarkEnd w:id="17"/>
          </w:p>
        </w:tc>
        <w:tc>
          <w:tcPr>
            <w:tcW w:w="1238" w:type="dxa"/>
            <w:tcBorders>
              <w:top w:val="nil"/>
              <w:left w:val="single" w:sz="6" w:space="0" w:color="FFFFFF"/>
              <w:bottom w:val="single" w:sz="2" w:space="0" w:color="FFFFFF"/>
              <w:right w:val="single" w:sz="2" w:space="0" w:color="FFFFFF"/>
            </w:tcBorders>
          </w:tcPr>
          <w:p w14:paraId="73F0ACF5" w14:textId="77777777" w:rsidR="00666608" w:rsidRPr="00C7263A" w:rsidRDefault="00666608" w:rsidP="00D65034">
            <w:pPr>
              <w:pStyle w:val="cDate2"/>
            </w:pPr>
            <w:r w:rsidRPr="00C7263A">
              <w:t>1-1-19</w:t>
            </w:r>
          </w:p>
        </w:tc>
      </w:tr>
    </w:tbl>
    <w:p w14:paraId="697A9BD4" w14:textId="77777777" w:rsidR="00FB5836" w:rsidRPr="00C7263A" w:rsidRDefault="00666608" w:rsidP="00FB5836">
      <w:pPr>
        <w:pStyle w:val="ctext"/>
      </w:pPr>
      <w:r w:rsidRPr="00C7263A">
        <w:t xml:space="preserve">Performance-based incentive payments are payments made to a shared performance entity for delivery of economic, </w:t>
      </w:r>
      <w:proofErr w:type="gramStart"/>
      <w:r w:rsidRPr="00C7263A">
        <w:t>efficient</w:t>
      </w:r>
      <w:proofErr w:type="gramEnd"/>
      <w:r w:rsidRPr="00C7263A">
        <w:t xml:space="preserve"> and quality care that meets the requirements in Section 232.000.</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66608" w:rsidRPr="00C7263A" w14:paraId="0AA28D15" w14:textId="77777777" w:rsidTr="00D65034">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FB8F8A6" w14:textId="77777777" w:rsidR="00666608" w:rsidRPr="00C7263A" w:rsidRDefault="00666608" w:rsidP="00D65034">
            <w:pPr>
              <w:pStyle w:val="chead2"/>
            </w:pPr>
            <w:bookmarkStart w:id="18" w:name="_Toc199244425"/>
            <w:r w:rsidRPr="00C7263A">
              <w:t>232.000</w:t>
            </w:r>
            <w:r w:rsidRPr="00C7263A">
              <w:tab/>
              <w:t>Performance-Based Incentive Payments Eligibility</w:t>
            </w:r>
            <w:bookmarkEnd w:id="18"/>
          </w:p>
        </w:tc>
        <w:tc>
          <w:tcPr>
            <w:tcW w:w="1238" w:type="dxa"/>
            <w:tcBorders>
              <w:top w:val="single" w:sz="2" w:space="0" w:color="FFFFFF"/>
              <w:left w:val="single" w:sz="6" w:space="0" w:color="FFFFFF"/>
              <w:bottom w:val="single" w:sz="2" w:space="0" w:color="FFFFFF"/>
              <w:right w:val="single" w:sz="2" w:space="0" w:color="FFFFFF"/>
            </w:tcBorders>
          </w:tcPr>
          <w:p w14:paraId="1627A99C" w14:textId="77777777" w:rsidR="00666608" w:rsidRPr="00C7263A" w:rsidRDefault="00666608" w:rsidP="00D65034">
            <w:pPr>
              <w:pStyle w:val="cDate2"/>
            </w:pPr>
            <w:r w:rsidRPr="00C7263A">
              <w:t>1-1-19</w:t>
            </w:r>
          </w:p>
        </w:tc>
      </w:tr>
    </w:tbl>
    <w:p w14:paraId="190B1614" w14:textId="77777777" w:rsidR="00666608" w:rsidRPr="00C7263A" w:rsidRDefault="00666608" w:rsidP="00666608">
      <w:pPr>
        <w:pStyle w:val="ctext"/>
      </w:pPr>
      <w:r w:rsidRPr="00C7263A">
        <w:t>To receive performance-based incentive payments, a shared performance entity must have a minimum of 1,000 attributed beneficiaries once the exclusions listed below have been applied.  A shared performance entity may meet this requirement as a single PCMH or by pooling attributed beneficiaries across more than one PCMH as described in Section 233.000.</w:t>
      </w:r>
    </w:p>
    <w:p w14:paraId="595AC0A0" w14:textId="77777777" w:rsidR="00666608" w:rsidRPr="00C7263A" w:rsidRDefault="00666608" w:rsidP="00666608">
      <w:pPr>
        <w:pStyle w:val="CLETTERED"/>
      </w:pPr>
      <w:r w:rsidRPr="00C7263A">
        <w:t>A.</w:t>
      </w:r>
      <w:r w:rsidRPr="00C7263A">
        <w:tab/>
        <w:t xml:space="preserve">The following beneficiaries shall not be counted toward the 1,000 attributed </w:t>
      </w:r>
      <w:proofErr w:type="gramStart"/>
      <w:r w:rsidRPr="00C7263A">
        <w:t>beneficiary requirements</w:t>
      </w:r>
      <w:proofErr w:type="gramEnd"/>
      <w:r w:rsidRPr="00C7263A">
        <w:t>.</w:t>
      </w:r>
    </w:p>
    <w:p w14:paraId="099C9F48" w14:textId="77777777" w:rsidR="00666608" w:rsidRPr="00C7263A" w:rsidRDefault="00666608" w:rsidP="00666608">
      <w:pPr>
        <w:pStyle w:val="cnumbered"/>
      </w:pPr>
      <w:r w:rsidRPr="00C7263A">
        <w:t>1.</w:t>
      </w:r>
      <w:r w:rsidRPr="00C7263A">
        <w:tab/>
        <w:t>Beneficiaries that have been attributed to that entity’s PCMH(s) for less than half of the performance period.</w:t>
      </w:r>
    </w:p>
    <w:p w14:paraId="589748DF" w14:textId="77777777" w:rsidR="00666608" w:rsidRPr="00C7263A" w:rsidRDefault="00666608" w:rsidP="00666608">
      <w:pPr>
        <w:pStyle w:val="cnumbered"/>
      </w:pPr>
      <w:r w:rsidRPr="00C7263A">
        <w:t>2.</w:t>
      </w:r>
      <w:r w:rsidRPr="00C7263A">
        <w:tab/>
        <w:t>Beneficiaries that a PCMH prospectively designates for exclusion (also known as physician-selected exclusions) on or before the 90th day of the performance period.  Once a beneficiary is designated for exclusion, a PCMH may not update selection for the duration of the performance period.  The total number of physician-selected exclusions will be directly proportional to the PCMH’s total number of attributed beneficiaries (e.g., up to one exclusion for every 1,000 attributed beneficiaries).</w:t>
      </w:r>
    </w:p>
    <w:p w14:paraId="3ED38A4C" w14:textId="77777777" w:rsidR="00666608" w:rsidRPr="00C7263A" w:rsidRDefault="00666608" w:rsidP="00666608">
      <w:pPr>
        <w:pStyle w:val="cnumbered"/>
      </w:pPr>
      <w:r w:rsidRPr="00C7263A">
        <w:lastRenderedPageBreak/>
        <w:t>3.</w:t>
      </w:r>
      <w:r w:rsidRPr="00C7263A">
        <w:tab/>
        <w:t xml:space="preserve">Beneficiaries for whom DMS has identified another payer that is legally liable for </w:t>
      </w:r>
      <w:proofErr w:type="gramStart"/>
      <w:r w:rsidRPr="00C7263A">
        <w:t>all</w:t>
      </w:r>
      <w:proofErr w:type="gramEnd"/>
      <w:r w:rsidRPr="00C7263A">
        <w:t xml:space="preserve"> or part of the cost of Medicaid care and services provided to the beneficiary.</w:t>
      </w:r>
    </w:p>
    <w:p w14:paraId="546D660B" w14:textId="77777777" w:rsidR="00666608" w:rsidRPr="00C7263A" w:rsidRDefault="00666608" w:rsidP="00666608">
      <w:pPr>
        <w:pStyle w:val="ctext"/>
        <w:rPr>
          <w:b/>
        </w:rPr>
      </w:pPr>
      <w:r w:rsidRPr="00C7263A">
        <w:t xml:space="preserve">DMS may add, </w:t>
      </w:r>
      <w:proofErr w:type="gramStart"/>
      <w:r w:rsidRPr="00C7263A">
        <w:t>remove</w:t>
      </w:r>
      <w:proofErr w:type="gramEnd"/>
      <w:r w:rsidRPr="00C7263A">
        <w:t xml:space="preserve"> or adjust these exclusions based on new research, empirical evidence, provider experience with select beneficiary populations or inclusion of new payers.  DMS will publish such an addition, removal or modification on the APII website at </w:t>
      </w:r>
      <w:r w:rsidRPr="00C7263A">
        <w:rPr>
          <w:rStyle w:val="Hyperlink"/>
          <w:color w:val="auto"/>
          <w:u w:val="none"/>
        </w:rPr>
        <w:fldChar w:fldCharType="begin"/>
      </w:r>
      <w:r w:rsidR="00A67266" w:rsidRPr="00C7263A">
        <w:rPr>
          <w:rStyle w:val="Hyperlink"/>
          <w:color w:val="auto"/>
          <w:u w:val="none"/>
        </w:rPr>
        <w:instrText>HYPERLINK "https://humanservices.arkansas.gov/divisions-shared-services/medical-services/helpful-information-for-providers/patient-centered-medical-home/"</w:instrText>
      </w:r>
      <w:r w:rsidR="00A67266" w:rsidRPr="00C7263A">
        <w:rPr>
          <w:rStyle w:val="Hyperlink"/>
          <w:color w:val="auto"/>
          <w:u w:val="none"/>
        </w:rPr>
      </w:r>
      <w:r w:rsidRPr="00C7263A">
        <w:rPr>
          <w:rStyle w:val="Hyperlink"/>
          <w:color w:val="auto"/>
          <w:u w:val="none"/>
        </w:rPr>
        <w:fldChar w:fldCharType="separate"/>
      </w:r>
      <w:r w:rsidRPr="00C7263A">
        <w:rPr>
          <w:rStyle w:val="Hyperlink"/>
        </w:rPr>
        <w:t>http://www.paymentinitiative.org/pcmh-manual-and-additional-resources</w:t>
      </w:r>
      <w:r w:rsidRPr="00C7263A">
        <w:rPr>
          <w:rStyle w:val="Hyperlink"/>
          <w:color w:val="auto"/>
          <w:u w:val="none"/>
        </w:rPr>
        <w:fldChar w:fldCharType="end"/>
      </w:r>
      <w:r w:rsidRPr="00C7263A">
        <w:t>.</w:t>
      </w:r>
    </w:p>
    <w:p w14:paraId="03F08513" w14:textId="77777777" w:rsidR="00666608" w:rsidRPr="00C7263A" w:rsidRDefault="00666608" w:rsidP="00666608">
      <w:pPr>
        <w:pStyle w:val="CLETTERED"/>
      </w:pPr>
      <w:r w:rsidRPr="00C7263A">
        <w:t>B.</w:t>
      </w:r>
      <w:r w:rsidRPr="00C7263A">
        <w:tab/>
        <w:t>Performance-based incentive payments are conditioned upon a shared performance entity:</w:t>
      </w:r>
    </w:p>
    <w:p w14:paraId="3D2DCB8C" w14:textId="77777777" w:rsidR="00666608" w:rsidRPr="00C7263A" w:rsidRDefault="00666608" w:rsidP="00666608">
      <w:pPr>
        <w:pStyle w:val="cnumbered"/>
      </w:pPr>
      <w:r w:rsidRPr="00C7263A">
        <w:t>1.</w:t>
      </w:r>
      <w:r w:rsidRPr="00C7263A">
        <w:tab/>
        <w:t xml:space="preserve">Enrolling during the enrollment period prior to the beginning of the performance </w:t>
      </w:r>
      <w:proofErr w:type="gramStart"/>
      <w:r w:rsidRPr="00C7263A">
        <w:t>period;</w:t>
      </w:r>
      <w:proofErr w:type="gramEnd"/>
    </w:p>
    <w:p w14:paraId="20E682B1" w14:textId="77777777" w:rsidR="00666608" w:rsidRPr="00C7263A" w:rsidRDefault="00666608" w:rsidP="00666608">
      <w:pPr>
        <w:pStyle w:val="cnumbered"/>
      </w:pPr>
      <w:r w:rsidRPr="00C7263A">
        <w:t>2.</w:t>
      </w:r>
      <w:r w:rsidRPr="00C7263A">
        <w:tab/>
        <w:t xml:space="preserve">Meeting Section 241.000 requirements for activities tracked for practice </w:t>
      </w:r>
      <w:proofErr w:type="gramStart"/>
      <w:r w:rsidRPr="00C7263A">
        <w:t>support;</w:t>
      </w:r>
      <w:proofErr w:type="gramEnd"/>
    </w:p>
    <w:p w14:paraId="4630890E" w14:textId="77777777" w:rsidR="00666608" w:rsidRPr="00C7263A" w:rsidRDefault="00666608" w:rsidP="00666608">
      <w:pPr>
        <w:pStyle w:val="cnumbered"/>
      </w:pPr>
      <w:r w:rsidRPr="00C7263A">
        <w:t>3.</w:t>
      </w:r>
      <w:r w:rsidRPr="00C7263A">
        <w:tab/>
        <w:t>Meeting requirements for metrics tracked for performance-</w:t>
      </w:r>
      <w:proofErr w:type="gramStart"/>
      <w:r w:rsidRPr="00C7263A">
        <w:t>based incentive</w:t>
      </w:r>
      <w:proofErr w:type="gramEnd"/>
      <w:r w:rsidRPr="00C7263A">
        <w:t xml:space="preserve"> payments in Section 243.000 based on the performance for beneficiaries attributed to the shared performance entity for </w:t>
      </w:r>
      <w:proofErr w:type="gramStart"/>
      <w:r w:rsidRPr="00C7263A">
        <w:t>the majority of</w:t>
      </w:r>
      <w:proofErr w:type="gramEnd"/>
      <w:r w:rsidRPr="00C7263A">
        <w:t xml:space="preserve"> the performance period; and</w:t>
      </w:r>
    </w:p>
    <w:p w14:paraId="4F06C63C" w14:textId="77777777" w:rsidR="00666608" w:rsidRPr="00C7263A" w:rsidRDefault="00666608" w:rsidP="00666608">
      <w:pPr>
        <w:pStyle w:val="cnumbered"/>
      </w:pPr>
      <w:r w:rsidRPr="00C7263A">
        <w:t>4.</w:t>
      </w:r>
      <w:r w:rsidRPr="00C7263A">
        <w:tab/>
        <w:t>Maintaining eligibility for practice support as described in Section 222.000.</w:t>
      </w:r>
    </w:p>
    <w:p w14:paraId="51EFD811" w14:textId="77777777" w:rsidR="00666608" w:rsidRPr="00C7263A" w:rsidRDefault="00666608" w:rsidP="00666608">
      <w:pPr>
        <w:pStyle w:val="ctext"/>
      </w:pPr>
      <w:r w:rsidRPr="00C7263A">
        <w:t xml:space="preserve">Performance-based incentive payments are made to the individual PCMHs which are part of a shared performance entity.  These payments are risk- and time- adjusted and prorated based on the number of beneficiaries of each PCMH.  These payments are </w:t>
      </w:r>
      <w:proofErr w:type="gramStart"/>
      <w:r w:rsidRPr="00C7263A">
        <w:t>predicated</w:t>
      </w:r>
      <w:proofErr w:type="gramEnd"/>
      <w:r w:rsidRPr="00C7263A">
        <w:t xml:space="preserve"> on each PCMH maintaining eligibility for practice support as described in Section 222.000.</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66608" w:rsidRPr="00C7263A" w14:paraId="76F181BC" w14:textId="77777777" w:rsidTr="00D65034">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940F012" w14:textId="77777777" w:rsidR="00666608" w:rsidRPr="00C7263A" w:rsidRDefault="00666608" w:rsidP="00D65034">
            <w:pPr>
              <w:pStyle w:val="chead2"/>
            </w:pPr>
            <w:bookmarkStart w:id="19" w:name="_Toc199244426"/>
            <w:r w:rsidRPr="00C7263A">
              <w:t>233.000</w:t>
            </w:r>
            <w:r w:rsidRPr="00C7263A">
              <w:tab/>
              <w:t>Pools of Attributed Beneficiaries</w:t>
            </w:r>
            <w:bookmarkEnd w:id="19"/>
          </w:p>
        </w:tc>
        <w:tc>
          <w:tcPr>
            <w:tcW w:w="1238" w:type="dxa"/>
            <w:tcBorders>
              <w:top w:val="single" w:sz="2" w:space="0" w:color="FFFFFF"/>
              <w:left w:val="single" w:sz="6" w:space="0" w:color="FFFFFF"/>
              <w:bottom w:val="single" w:sz="2" w:space="0" w:color="FFFFFF"/>
              <w:right w:val="single" w:sz="2" w:space="0" w:color="FFFFFF"/>
            </w:tcBorders>
          </w:tcPr>
          <w:p w14:paraId="4B46D1F5" w14:textId="77777777" w:rsidR="00666608" w:rsidRPr="00C7263A" w:rsidRDefault="00666608" w:rsidP="00D65034">
            <w:pPr>
              <w:pStyle w:val="cDate2"/>
            </w:pPr>
            <w:r w:rsidRPr="00C7263A">
              <w:t>1-1-19</w:t>
            </w:r>
          </w:p>
        </w:tc>
      </w:tr>
    </w:tbl>
    <w:p w14:paraId="2A0B126B" w14:textId="77777777" w:rsidR="00666608" w:rsidRPr="00C7263A" w:rsidRDefault="00666608" w:rsidP="00666608">
      <w:pPr>
        <w:pStyle w:val="ctext"/>
      </w:pPr>
      <w:r w:rsidRPr="00C7263A">
        <w:t>Shared performance entities will meet the minimum pool size of 1,000 attributed beneficiaries as described in Section 232.000 in one of four ways:</w:t>
      </w:r>
    </w:p>
    <w:p w14:paraId="05CE55F0" w14:textId="77777777" w:rsidR="00666608" w:rsidRPr="00C7263A" w:rsidRDefault="00666608" w:rsidP="00666608">
      <w:pPr>
        <w:pStyle w:val="CLETTERED"/>
      </w:pPr>
      <w:r w:rsidRPr="00C7263A">
        <w:t>A.</w:t>
      </w:r>
      <w:r w:rsidRPr="00C7263A">
        <w:tab/>
        <w:t xml:space="preserve">Meet minimum pool size </w:t>
      </w:r>
      <w:proofErr w:type="gramStart"/>
      <w:r w:rsidRPr="00C7263A">
        <w:t>independently;</w:t>
      </w:r>
      <w:proofErr w:type="gramEnd"/>
    </w:p>
    <w:p w14:paraId="57C37B1A" w14:textId="77777777" w:rsidR="00666608" w:rsidRPr="00C7263A" w:rsidRDefault="00666608" w:rsidP="00666608">
      <w:pPr>
        <w:pStyle w:val="CLETTERED"/>
      </w:pPr>
      <w:r w:rsidRPr="00C7263A">
        <w:t>B.</w:t>
      </w:r>
      <w:r w:rsidRPr="00C7263A">
        <w:tab/>
        <w:t>Pool attributed beneficiaries voluntarily with other participating PCMHs as described in Section 234.000.  In this method, practices voluntarily agree to have their performance measured together by aggregating quality metrics tracked for performance-based incentive payments across the practices; or</w:t>
      </w:r>
    </w:p>
    <w:p w14:paraId="01568704" w14:textId="77777777" w:rsidR="00666608" w:rsidRPr="00C7263A" w:rsidRDefault="00666608" w:rsidP="00666608">
      <w:pPr>
        <w:pStyle w:val="CLETTERED"/>
      </w:pPr>
      <w:r w:rsidRPr="00C7263A">
        <w:t>C.</w:t>
      </w:r>
      <w:r w:rsidRPr="00C7263A">
        <w:tab/>
        <w:t>Be assigned to the default pool as described in Section 234.000.  Practices with beneficiaries in this pool will have their utilization performance and focus measure performance aggregated together; however, the quality metrics tracked for performance-based incentive payments are measured at the individual PCMH level; or</w:t>
      </w:r>
    </w:p>
    <w:p w14:paraId="6F864D83" w14:textId="77777777" w:rsidR="00666608" w:rsidRPr="00C7263A" w:rsidRDefault="00666608" w:rsidP="00666608">
      <w:pPr>
        <w:pStyle w:val="CLETTERED"/>
      </w:pPr>
      <w:r w:rsidRPr="00C7263A">
        <w:t>D.</w:t>
      </w:r>
      <w:r w:rsidRPr="00C7263A">
        <w:tab/>
        <w:t xml:space="preserve">Be assigned to the petite pool as described in Section 234.000. In this method, practices will have their performance measured together by aggregating the utilization measures, focus measure, and quality metrics tracked for performance-based incentive payments across all practices in the pool.  </w:t>
      </w:r>
    </w:p>
    <w:p w14:paraId="0E58891D" w14:textId="77777777" w:rsidR="00666608" w:rsidRPr="00C7263A" w:rsidRDefault="00666608" w:rsidP="00666608">
      <w:pPr>
        <w:pStyle w:val="ctext"/>
      </w:pPr>
      <w:r w:rsidRPr="00C7263A">
        <w:t>A shared performance entity’s pool configuration (A, B, C, or D) is established during the enrollment period and cannot be changed after the end of the enrollment period.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66608" w:rsidRPr="00C7263A" w14:paraId="2A7006C4" w14:textId="77777777" w:rsidTr="00D65034">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590D98D" w14:textId="77777777" w:rsidR="00666608" w:rsidRPr="00C7263A" w:rsidRDefault="00666608" w:rsidP="00D65034">
            <w:pPr>
              <w:pStyle w:val="chead2"/>
            </w:pPr>
            <w:bookmarkStart w:id="20" w:name="_Toc199244427"/>
            <w:r w:rsidRPr="00C7263A">
              <w:t>234.000</w:t>
            </w:r>
            <w:r w:rsidRPr="00C7263A">
              <w:tab/>
              <w:t>Requirements for Joining and Leaving Pools</w:t>
            </w:r>
            <w:bookmarkEnd w:id="20"/>
          </w:p>
        </w:tc>
        <w:tc>
          <w:tcPr>
            <w:tcW w:w="1238" w:type="dxa"/>
            <w:tcBorders>
              <w:top w:val="single" w:sz="2" w:space="0" w:color="FFFFFF"/>
              <w:left w:val="single" w:sz="6" w:space="0" w:color="FFFFFF"/>
              <w:bottom w:val="single" w:sz="2" w:space="0" w:color="FFFFFF"/>
              <w:right w:val="single" w:sz="2" w:space="0" w:color="FFFFFF"/>
            </w:tcBorders>
          </w:tcPr>
          <w:p w14:paraId="50F6E305" w14:textId="77777777" w:rsidR="00666608" w:rsidRPr="00C7263A" w:rsidRDefault="008F2DCD" w:rsidP="00D65034">
            <w:pPr>
              <w:pStyle w:val="cDate2"/>
            </w:pPr>
            <w:r w:rsidRPr="00C7263A">
              <w:t>8-1-21</w:t>
            </w:r>
          </w:p>
        </w:tc>
      </w:tr>
    </w:tbl>
    <w:p w14:paraId="26C05FC7" w14:textId="60EF09A6" w:rsidR="00E074C7" w:rsidRPr="00C7263A" w:rsidRDefault="00E074C7" w:rsidP="00E074C7">
      <w:pPr>
        <w:pStyle w:val="ctext"/>
      </w:pPr>
      <w:r w:rsidRPr="00C7263A">
        <w:t xml:space="preserve">PCMHs may voluntarily pool for purposes described in Section 233.000 before the end of the enrollment period that precedes the start of the performance period.  To pool, the participating practice must email a complete and accurate Arkansas Medicaid Patient-Centered Medical Home Program Pooling Request Form (DMS-845) to the </w:t>
      </w:r>
      <w:hyperlink r:id="rId15" w:history="1">
        <w:r w:rsidRPr="00C7263A">
          <w:rPr>
            <w:rStyle w:val="Hyperlink"/>
          </w:rPr>
          <w:t>Fiscal Contractor</w:t>
        </w:r>
      </w:hyperlink>
      <w:hyperlink r:id="rId16" w:history="1"/>
      <w:r w:rsidRPr="00C7263A">
        <w:t xml:space="preserve">.  View or print the Arkansas Medicaid Patient-Centered Medical Home Program Pooling Request Form on </w:t>
      </w:r>
      <w:hyperlink r:id="rId17" w:history="1">
        <w:r w:rsidRPr="00C7263A">
          <w:rPr>
            <w:rStyle w:val="Hyperlink"/>
          </w:rPr>
          <w:t>the APII website</w:t>
        </w:r>
        <w:r w:rsidRPr="00C7263A">
          <w:rPr>
            <w:rStyle w:val="Hyperlink"/>
            <w:b w:val="0"/>
          </w:rPr>
          <w:t>.</w:t>
        </w:r>
      </w:hyperlink>
      <w:r w:rsidRPr="00C7263A">
        <w:t xml:space="preserve">  You can also download the form from the AHIN provider portal.</w:t>
      </w:r>
    </w:p>
    <w:p w14:paraId="3D270F37" w14:textId="77777777" w:rsidR="00E074C7" w:rsidRPr="00C7263A" w:rsidRDefault="00E074C7" w:rsidP="00E074C7">
      <w:pPr>
        <w:pStyle w:val="ctext"/>
      </w:pPr>
      <w:r w:rsidRPr="00C7263A">
        <w:t xml:space="preserve">The DMS-845 Pooling form must be executed by all PCMHs participating in the pool.  Before the end of the enrollment period, PCMHs that are on their own or through pooling do not reach a </w:t>
      </w:r>
      <w:r w:rsidRPr="00C7263A">
        <w:lastRenderedPageBreak/>
        <w:t xml:space="preserve">minimum of 1,000 attributed beneficiaries will be assigned to the default pool.  Practices with less than 300 attributed beneficiaries that do not wish to participate in a voluntary pool will be placed in the petite pool.  Individual PCMHs whose attribution changes during the performance period will be classified as standalone, default, or petite pool members according to their attribution count at the end of the performance period.  </w:t>
      </w:r>
    </w:p>
    <w:p w14:paraId="1E7F741E" w14:textId="77777777" w:rsidR="00E074C7" w:rsidRPr="00C7263A" w:rsidRDefault="00E074C7" w:rsidP="00E074C7">
      <w:pPr>
        <w:pStyle w:val="ctext"/>
      </w:pPr>
      <w:r w:rsidRPr="00C7263A">
        <w:t>Pooling is effective for a single performance period and must be renewed for each subsequent year.</w:t>
      </w:r>
    </w:p>
    <w:p w14:paraId="1A967326" w14:textId="77777777" w:rsidR="00666608" w:rsidRPr="00C7263A" w:rsidRDefault="00E074C7" w:rsidP="00666608">
      <w:pPr>
        <w:pStyle w:val="ctext"/>
      </w:pPr>
      <w:r w:rsidRPr="00C7263A">
        <w:t xml:space="preserve">When a PCMH has voluntarily pooled, its performance is measured in the associated shared performance entity throughout the duration of the performance period unless it withdraws from the PCMH program during the performance period.  When a PCMH in a voluntary pool withdraws, is suspended, or otherwise leaves the PCMH program, </w:t>
      </w:r>
      <w:proofErr w:type="gramStart"/>
      <w:r w:rsidRPr="00C7263A">
        <w:t>any and all</w:t>
      </w:r>
      <w:proofErr w:type="gramEnd"/>
      <w:r w:rsidRPr="00C7263A">
        <w:t xml:space="preserve"> PCMHs in the shared performance entity will have their performance measured as if the withdrawn or suspended PCMH had never participated in the pool.  This provision does not apply to PCMHs that leave the program in the last calendar quarter.  If the PCMH leaves the program in the last calendar quarter, the departing PCMH, and its performance will be treated as if the PCMH has not left the program.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66608" w:rsidRPr="00C7263A" w14:paraId="72303956" w14:textId="77777777" w:rsidTr="00D65034">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8CC40E3" w14:textId="77777777" w:rsidR="00666608" w:rsidRPr="00C7263A" w:rsidRDefault="00666608" w:rsidP="00D65034">
            <w:pPr>
              <w:pStyle w:val="chead2"/>
            </w:pPr>
            <w:bookmarkStart w:id="21" w:name="_Toc199244428"/>
            <w:r w:rsidRPr="00C7263A">
              <w:t>235.000</w:t>
            </w:r>
            <w:r w:rsidRPr="00C7263A">
              <w:tab/>
              <w:t>Performance-Based Incentive Payment (PBIP) Methodology</w:t>
            </w:r>
            <w:bookmarkEnd w:id="21"/>
          </w:p>
        </w:tc>
        <w:tc>
          <w:tcPr>
            <w:tcW w:w="1238" w:type="dxa"/>
            <w:tcBorders>
              <w:top w:val="single" w:sz="2" w:space="0" w:color="FFFFFF"/>
              <w:left w:val="single" w:sz="6" w:space="0" w:color="FFFFFF"/>
              <w:bottom w:val="single" w:sz="2" w:space="0" w:color="FFFFFF"/>
              <w:right w:val="single" w:sz="2" w:space="0" w:color="FFFFFF"/>
            </w:tcBorders>
          </w:tcPr>
          <w:p w14:paraId="6EE21443" w14:textId="77777777" w:rsidR="00666608" w:rsidRPr="00C7263A" w:rsidRDefault="00666608" w:rsidP="00D65034">
            <w:pPr>
              <w:pStyle w:val="cDate2"/>
            </w:pPr>
            <w:r w:rsidRPr="00C7263A">
              <w:t>1-1-19</w:t>
            </w:r>
          </w:p>
        </w:tc>
      </w:tr>
    </w:tbl>
    <w:p w14:paraId="3F1480C4" w14:textId="77777777" w:rsidR="00666608" w:rsidRPr="00C7263A" w:rsidRDefault="00666608" w:rsidP="00666608">
      <w:pPr>
        <w:pStyle w:val="ctext"/>
      </w:pPr>
      <w:r w:rsidRPr="00C7263A">
        <w:t>Each year, a Practice’s performance in emergency department rates and inpatient rates will be measured and ranked.  Shared performance entities that achieve the top 35</w:t>
      </w:r>
      <w:r w:rsidRPr="00C7263A">
        <w:rPr>
          <w:vertAlign w:val="superscript"/>
        </w:rPr>
        <w:t>th</w:t>
      </w:r>
      <w:r w:rsidRPr="00C7263A">
        <w:t xml:space="preserve"> percentile of performance in the measures will be eligible to receive PBIP.</w:t>
      </w:r>
    </w:p>
    <w:p w14:paraId="109CC808" w14:textId="77777777" w:rsidR="00666608" w:rsidRPr="00C7263A" w:rsidRDefault="00666608" w:rsidP="00666608">
      <w:pPr>
        <w:pStyle w:val="ctext"/>
      </w:pPr>
      <w:r w:rsidRPr="00C7263A">
        <w:t xml:space="preserve">Certain conditions are excluded from the calculation of emergency room and inpatient rates.  Each year, DMS will announce which exclusions it has applied on the APII website at </w:t>
      </w:r>
      <w:hyperlink r:id="rId18" w:history="1">
        <w:r w:rsidRPr="00C7263A">
          <w:rPr>
            <w:rStyle w:val="Hyperlink"/>
          </w:rPr>
          <w:t>http://www.paymentinitiative.org/pcmh-manual-and-additional-resources</w:t>
        </w:r>
      </w:hyperlink>
      <w:r w:rsidRPr="00C7263A">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66608" w:rsidRPr="00C7263A" w14:paraId="357D195F" w14:textId="77777777" w:rsidTr="00D65034">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9B292CD" w14:textId="77777777" w:rsidR="00666608" w:rsidRPr="00C7263A" w:rsidRDefault="00666608" w:rsidP="00D65034">
            <w:pPr>
              <w:pStyle w:val="chead2"/>
            </w:pPr>
            <w:bookmarkStart w:id="22" w:name="_Toc199244429"/>
            <w:r w:rsidRPr="00C7263A">
              <w:t>236.000</w:t>
            </w:r>
            <w:r w:rsidRPr="00C7263A">
              <w:tab/>
              <w:t>Focus Measure</w:t>
            </w:r>
            <w:bookmarkEnd w:id="22"/>
          </w:p>
        </w:tc>
        <w:tc>
          <w:tcPr>
            <w:tcW w:w="1238" w:type="dxa"/>
            <w:tcBorders>
              <w:top w:val="single" w:sz="2" w:space="0" w:color="FFFFFF"/>
              <w:left w:val="single" w:sz="6" w:space="0" w:color="FFFFFF"/>
              <w:bottom w:val="single" w:sz="2" w:space="0" w:color="FFFFFF"/>
              <w:right w:val="single" w:sz="2" w:space="0" w:color="FFFFFF"/>
            </w:tcBorders>
          </w:tcPr>
          <w:p w14:paraId="02B6AFA6" w14:textId="77777777" w:rsidR="00666608" w:rsidRPr="00C7263A" w:rsidRDefault="00666608" w:rsidP="00D65034">
            <w:pPr>
              <w:pStyle w:val="cDate2"/>
            </w:pPr>
            <w:r w:rsidRPr="00C7263A">
              <w:t>1-1-19</w:t>
            </w:r>
          </w:p>
        </w:tc>
      </w:tr>
    </w:tbl>
    <w:p w14:paraId="1B430F7B" w14:textId="77777777" w:rsidR="00666608" w:rsidRPr="00C7263A" w:rsidRDefault="00666608" w:rsidP="00666608">
      <w:pPr>
        <w:pStyle w:val="ctext"/>
      </w:pPr>
      <w:r w:rsidRPr="00C7263A">
        <w:t>Each year, DMS will select a focus measure to improve quality and provide incentive to shared performance entities.  The focus measure will focus on an area for which Arkansas ranks much lower than the national average.  Shared performance entities that are ranked in the top 35</w:t>
      </w:r>
      <w:r w:rsidRPr="00C7263A">
        <w:rPr>
          <w:vertAlign w:val="superscript"/>
        </w:rPr>
        <w:t>th</w:t>
      </w:r>
      <w:r w:rsidRPr="00C7263A">
        <w:t xml:space="preserve"> percentile of the focus measure will be eligible to receive PBIP.</w:t>
      </w:r>
    </w:p>
    <w:p w14:paraId="76B5B47A" w14:textId="77777777" w:rsidR="00666608" w:rsidRPr="00C7263A" w:rsidRDefault="00666608" w:rsidP="00666608">
      <w:pPr>
        <w:pStyle w:val="ctext"/>
      </w:pPr>
      <w:r w:rsidRPr="00C7263A">
        <w:t xml:space="preserve">Each year, DMS will announce which area has been selected as a focus measure on the APII website at </w:t>
      </w:r>
      <w:hyperlink r:id="rId19" w:history="1">
        <w:r w:rsidRPr="00C7263A">
          <w:rPr>
            <w:rStyle w:val="Hyperlink"/>
          </w:rPr>
          <w:t>http://www.paymentinitiative.org/pcmh-manual-and-additional-resources</w:t>
        </w:r>
      </w:hyperlink>
      <w:r w:rsidRPr="00C7263A">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5"/>
        <w:gridCol w:w="1114"/>
        <w:gridCol w:w="1137"/>
      </w:tblGrid>
      <w:tr w:rsidR="00666608" w:rsidRPr="00C7263A" w14:paraId="7DD63C68" w14:textId="77777777" w:rsidTr="00D65034">
        <w:tblPrEx>
          <w:tblCellMar>
            <w:top w:w="0" w:type="dxa"/>
            <w:bottom w:w="0" w:type="dxa"/>
          </w:tblCellMar>
        </w:tblPrEx>
        <w:trPr>
          <w:cantSplit/>
        </w:trPr>
        <w:tc>
          <w:tcPr>
            <w:tcW w:w="7325" w:type="dxa"/>
            <w:tcBorders>
              <w:top w:val="single" w:sz="2" w:space="0" w:color="FFFFFF"/>
              <w:left w:val="single" w:sz="2" w:space="0" w:color="FFFFFF"/>
              <w:bottom w:val="single" w:sz="2" w:space="0" w:color="FFFFFF"/>
              <w:right w:val="single" w:sz="6" w:space="0" w:color="FFFFFF"/>
            </w:tcBorders>
          </w:tcPr>
          <w:p w14:paraId="33D9A182" w14:textId="77777777" w:rsidR="00666608" w:rsidRPr="00C7263A" w:rsidRDefault="00666608" w:rsidP="00D65034">
            <w:pPr>
              <w:pStyle w:val="chead2"/>
            </w:pPr>
            <w:bookmarkStart w:id="23" w:name="_Toc199244430"/>
            <w:r w:rsidRPr="00C7263A">
              <w:t>237.000</w:t>
            </w:r>
            <w:r w:rsidRPr="00C7263A">
              <w:tab/>
              <w:t>Performance-Based Incentive Payment Amounts</w:t>
            </w:r>
            <w:bookmarkEnd w:id="23"/>
          </w:p>
        </w:tc>
        <w:tc>
          <w:tcPr>
            <w:tcW w:w="1114" w:type="dxa"/>
            <w:tcBorders>
              <w:top w:val="single" w:sz="2" w:space="0" w:color="FFFFFF"/>
              <w:left w:val="single" w:sz="6" w:space="0" w:color="FFFFFF"/>
              <w:bottom w:val="single" w:sz="2" w:space="0" w:color="FFFFFF"/>
              <w:right w:val="single" w:sz="6" w:space="0" w:color="FFFFFF"/>
            </w:tcBorders>
          </w:tcPr>
          <w:p w14:paraId="3F15D55D" w14:textId="77777777" w:rsidR="00666608" w:rsidRPr="00C7263A" w:rsidRDefault="00666608" w:rsidP="00D65034">
            <w:pPr>
              <w:pStyle w:val="cDate2"/>
            </w:pPr>
          </w:p>
        </w:tc>
        <w:tc>
          <w:tcPr>
            <w:tcW w:w="1137" w:type="dxa"/>
            <w:tcBorders>
              <w:top w:val="single" w:sz="2" w:space="0" w:color="FFFFFF"/>
              <w:left w:val="single" w:sz="6" w:space="0" w:color="FFFFFF"/>
              <w:bottom w:val="single" w:sz="2" w:space="0" w:color="FFFFFF"/>
              <w:right w:val="single" w:sz="2" w:space="0" w:color="FFFFFF"/>
            </w:tcBorders>
          </w:tcPr>
          <w:p w14:paraId="43A72228" w14:textId="77777777" w:rsidR="00666608" w:rsidRPr="00C7263A" w:rsidRDefault="00666608" w:rsidP="00D65034">
            <w:pPr>
              <w:pStyle w:val="cDate2"/>
            </w:pPr>
            <w:r w:rsidRPr="00C7263A">
              <w:t>1-1-19</w:t>
            </w:r>
          </w:p>
        </w:tc>
      </w:tr>
    </w:tbl>
    <w:p w14:paraId="1ED866DB" w14:textId="77777777" w:rsidR="00666608" w:rsidRPr="00C7263A" w:rsidRDefault="00666608" w:rsidP="00666608">
      <w:pPr>
        <w:pStyle w:val="ctext"/>
      </w:pPr>
      <w:r w:rsidRPr="00C7263A">
        <w:t>A shared performance entity is eligible to receive performance-based incentive payments in one of the following ways:</w:t>
      </w:r>
    </w:p>
    <w:p w14:paraId="6EEEA9CF" w14:textId="77777777" w:rsidR="00666608" w:rsidRPr="00C7263A" w:rsidRDefault="00666608" w:rsidP="00666608">
      <w:pPr>
        <w:pStyle w:val="CLETTERED"/>
      </w:pPr>
      <w:r w:rsidRPr="00C7263A">
        <w:t>A.</w:t>
      </w:r>
      <w:r w:rsidRPr="00C7263A">
        <w:tab/>
        <w:t>Shared performance entities that are ranked on the top 10</w:t>
      </w:r>
      <w:r w:rsidRPr="00C7263A">
        <w:rPr>
          <w:vertAlign w:val="superscript"/>
        </w:rPr>
        <w:t>th</w:t>
      </w:r>
      <w:r w:rsidRPr="00C7263A">
        <w:t xml:space="preserve"> percentile of performance in emergency room rates, inpatient stay </w:t>
      </w:r>
      <w:proofErr w:type="gramStart"/>
      <w:r w:rsidRPr="00C7263A">
        <w:t>rates, and</w:t>
      </w:r>
      <w:proofErr w:type="gramEnd"/>
      <w:r w:rsidRPr="00C7263A">
        <w:t xml:space="preserve"> focus measures will be eligible for 100% of incentive bonus.</w:t>
      </w:r>
    </w:p>
    <w:p w14:paraId="54F56AA0" w14:textId="77777777" w:rsidR="00666608" w:rsidRPr="00C7263A" w:rsidRDefault="00666608" w:rsidP="00666608">
      <w:pPr>
        <w:pStyle w:val="CLETTERED"/>
      </w:pPr>
      <w:r w:rsidRPr="00C7263A">
        <w:t>B.</w:t>
      </w:r>
      <w:r w:rsidRPr="00C7263A">
        <w:tab/>
        <w:t xml:space="preserve">Shared performance entitles that rank in the top 35th percentile of performance in emergency room rates, inpatient stay </w:t>
      </w:r>
      <w:proofErr w:type="gramStart"/>
      <w:r w:rsidRPr="00C7263A">
        <w:t>rates, and</w:t>
      </w:r>
      <w:proofErr w:type="gramEnd"/>
      <w:r w:rsidRPr="00C7263A">
        <w:t xml:space="preserve"> focus measures will be eligible for 50% of incentive bonus.</w:t>
      </w:r>
    </w:p>
    <w:p w14:paraId="660862DA" w14:textId="77777777" w:rsidR="00666608" w:rsidRPr="00C7263A" w:rsidRDefault="00666608" w:rsidP="00666608">
      <w:pPr>
        <w:pStyle w:val="CLETTERED"/>
        <w:ind w:firstLine="0"/>
      </w:pPr>
      <w:r w:rsidRPr="00C7263A">
        <w:t>Performance-based incentive payments will be calculated by multiplying the incentive amount by the number of member months attributed to each PCMH.  PCMHs are eligible to receive incentive payments for either ranking in the top 10th or top 35th percentile for each measure.  Measures are independent of one another, and practices are not required to achieve the same ranking across all measures to qualify for incentive bonus payments.</w:t>
      </w:r>
    </w:p>
    <w:p w14:paraId="6AC52028" w14:textId="77777777" w:rsidR="00666608" w:rsidRPr="00C7263A" w:rsidRDefault="00666608" w:rsidP="00666608">
      <w:pPr>
        <w:pStyle w:val="CLETTERED"/>
      </w:pPr>
      <w:r w:rsidRPr="00C7263A">
        <w:tab/>
        <w:t xml:space="preserve">If participating practices have pooled their attributed beneficiaries together, then performance-based incentive payments will be allocated to those practices based on risk- </w:t>
      </w:r>
      <w:r w:rsidRPr="00C7263A">
        <w:lastRenderedPageBreak/>
        <w:t>and time-adjustment and in proportion to the number of attributed beneficiaries that each PCMH contributed to such pool.</w:t>
      </w:r>
    </w:p>
    <w:p w14:paraId="276F8C01" w14:textId="77777777" w:rsidR="00666608" w:rsidRPr="00C7263A" w:rsidRDefault="00666608" w:rsidP="00666608">
      <w:pPr>
        <w:pStyle w:val="cnumbered"/>
      </w:pPr>
      <w:r w:rsidRPr="00C7263A">
        <w:t>1.</w:t>
      </w:r>
      <w:r w:rsidRPr="00C7263A">
        <w:tab/>
        <w:t>A shared performance entity will not receive performance-based incentive payments unless it meets all the conditions described in Section 232.000.</w:t>
      </w:r>
    </w:p>
    <w:p w14:paraId="7D5AC45F" w14:textId="77777777" w:rsidR="00666608" w:rsidRPr="00C7263A" w:rsidRDefault="00666608" w:rsidP="00666608">
      <w:pPr>
        <w:pStyle w:val="cnumbered"/>
      </w:pPr>
      <w:r w:rsidRPr="00C7263A">
        <w:t>2.</w:t>
      </w:r>
      <w:r w:rsidRPr="00C7263A">
        <w:tab/>
        <w:t xml:space="preserve">DMS pays performance-based incentive payments on an annual basis for the most recently </w:t>
      </w:r>
      <w:proofErr w:type="gramStart"/>
      <w:r w:rsidRPr="00C7263A">
        <w:t>completed</w:t>
      </w:r>
      <w:proofErr w:type="gramEnd"/>
      <w:r w:rsidRPr="00C7263A">
        <w:t xml:space="preserve"> performance period and may withhold a portion of performance-based incentive payments to allow for final payment adjustment after a year of claims data is available.</w:t>
      </w:r>
    </w:p>
    <w:p w14:paraId="1E2C71B1" w14:textId="77777777" w:rsidR="005B4662" w:rsidRPr="00C7263A" w:rsidRDefault="00666608" w:rsidP="00666608">
      <w:pPr>
        <w:pStyle w:val="cnumbered"/>
      </w:pPr>
      <w:r w:rsidRPr="00C7263A">
        <w:t>3.</w:t>
      </w:r>
      <w:r w:rsidRPr="00C7263A">
        <w:tab/>
        <w:t xml:space="preserve">Final payment will include any adjustments required </w:t>
      </w:r>
      <w:proofErr w:type="gramStart"/>
      <w:r w:rsidRPr="00C7263A">
        <w:t>in order to</w:t>
      </w:r>
      <w:proofErr w:type="gramEnd"/>
      <w:r w:rsidRPr="00C7263A">
        <w:t xml:space="preserve"> account for all claims for dates of service within the performance period.  If the final payment adjustment is negative, then DMS may recover the payment adjustment from the participating PCMH.</w:t>
      </w:r>
    </w:p>
    <w:p w14:paraId="2A124C79" w14:textId="77777777" w:rsidR="005B4662" w:rsidRPr="00C7263A" w:rsidRDefault="005B4662" w:rsidP="005B4662">
      <w:pPr>
        <w:pStyle w:val="cnumbered"/>
      </w:pPr>
    </w:p>
    <w:tbl>
      <w:tblPr>
        <w:tblW w:w="9360" w:type="dxa"/>
        <w:tblLook w:val="0000" w:firstRow="0" w:lastRow="0" w:firstColumn="0" w:lastColumn="0" w:noHBand="0" w:noVBand="0"/>
      </w:tblPr>
      <w:tblGrid>
        <w:gridCol w:w="8122"/>
        <w:gridCol w:w="1238"/>
      </w:tblGrid>
      <w:tr w:rsidR="008C55C8" w:rsidRPr="00C7263A" w14:paraId="1480E4E6" w14:textId="77777777" w:rsidTr="008A0F53">
        <w:tblPrEx>
          <w:tblCellMar>
            <w:top w:w="0" w:type="dxa"/>
            <w:bottom w:w="0" w:type="dxa"/>
          </w:tblCellMar>
        </w:tblPrEx>
        <w:trPr>
          <w:cantSplit/>
        </w:trPr>
        <w:tc>
          <w:tcPr>
            <w:tcW w:w="8122" w:type="dxa"/>
            <w:shd w:val="clear" w:color="auto" w:fill="1D73D6"/>
          </w:tcPr>
          <w:p w14:paraId="1B0C8823" w14:textId="77777777" w:rsidR="008C55C8" w:rsidRPr="00C7263A" w:rsidRDefault="008C55C8" w:rsidP="008A0F53">
            <w:pPr>
              <w:pStyle w:val="chead1"/>
              <w:outlineLvl w:val="0"/>
            </w:pPr>
            <w:bookmarkStart w:id="24" w:name="_Toc199244431"/>
            <w:r w:rsidRPr="00C7263A">
              <w:t>240.000</w:t>
            </w:r>
            <w:r w:rsidRPr="00C7263A">
              <w:tab/>
              <w:t>Metrics and accountability for payment incentives</w:t>
            </w:r>
            <w:bookmarkEnd w:id="24"/>
          </w:p>
        </w:tc>
        <w:tc>
          <w:tcPr>
            <w:tcW w:w="1238" w:type="dxa"/>
            <w:shd w:val="clear" w:color="auto" w:fill="1D73D6"/>
            <w:vAlign w:val="center"/>
          </w:tcPr>
          <w:p w14:paraId="4ACF79CF" w14:textId="77777777" w:rsidR="008C55C8" w:rsidRPr="00C7263A" w:rsidRDefault="008C55C8" w:rsidP="008A0F53">
            <w:pPr>
              <w:pStyle w:val="cDate1"/>
              <w:outlineLvl w:val="0"/>
              <w:rPr>
                <w:bCs/>
              </w:rPr>
            </w:pPr>
          </w:p>
        </w:tc>
      </w:tr>
      <w:tr w:rsidR="00666608" w:rsidRPr="00C7263A" w14:paraId="04A9AD6C" w14:textId="77777777" w:rsidTr="00D65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FDA1835" w14:textId="77777777" w:rsidR="00666608" w:rsidRPr="00C7263A" w:rsidRDefault="00666608" w:rsidP="00D65034">
            <w:pPr>
              <w:pStyle w:val="chead2"/>
            </w:pPr>
            <w:bookmarkStart w:id="25" w:name="_Toc199244432"/>
            <w:r w:rsidRPr="00C7263A">
              <w:t>241.000</w:t>
            </w:r>
            <w:r w:rsidRPr="00C7263A">
              <w:tab/>
              <w:t>Activities Tracked for Practice Support</w:t>
            </w:r>
            <w:bookmarkEnd w:id="25"/>
          </w:p>
        </w:tc>
        <w:tc>
          <w:tcPr>
            <w:tcW w:w="1238" w:type="dxa"/>
            <w:tcBorders>
              <w:top w:val="single" w:sz="2" w:space="0" w:color="FFFFFF"/>
              <w:left w:val="single" w:sz="6" w:space="0" w:color="FFFFFF"/>
              <w:bottom w:val="single" w:sz="2" w:space="0" w:color="FFFFFF"/>
              <w:right w:val="single" w:sz="2" w:space="0" w:color="FFFFFF"/>
            </w:tcBorders>
          </w:tcPr>
          <w:p w14:paraId="5CDF7C20" w14:textId="77777777" w:rsidR="00666608" w:rsidRPr="00C7263A" w:rsidRDefault="00666608" w:rsidP="00D65034">
            <w:pPr>
              <w:pStyle w:val="cDate2"/>
            </w:pPr>
            <w:r w:rsidRPr="00C7263A">
              <w:t>1-1-19</w:t>
            </w:r>
          </w:p>
        </w:tc>
      </w:tr>
    </w:tbl>
    <w:p w14:paraId="7C6EBAE2" w14:textId="77777777" w:rsidR="00666608" w:rsidRPr="00C7263A" w:rsidRDefault="00666608" w:rsidP="00666608">
      <w:pPr>
        <w:pStyle w:val="ctext"/>
      </w:pPr>
      <w:r w:rsidRPr="00C7263A">
        <w:t xml:space="preserve">Using the provider portal, participating PCMHs must complete and document the activities as announced by DMS on the APII website at </w:t>
      </w:r>
      <w:hyperlink r:id="rId20" w:history="1">
        <w:r w:rsidRPr="00C7263A">
          <w:rPr>
            <w:rStyle w:val="Hyperlink"/>
          </w:rPr>
          <w:t>http://www.paymentinitiative.org/pcmh-manual-and-additional-resources</w:t>
        </w:r>
      </w:hyperlink>
      <w:r w:rsidRPr="00C7263A">
        <w:t>.  The reference point for the deadlines is the first day of the calendar year.</w:t>
      </w:r>
    </w:p>
    <w:p w14:paraId="3F046836" w14:textId="77777777" w:rsidR="00666608" w:rsidRPr="00C7263A" w:rsidRDefault="00666608" w:rsidP="00666608">
      <w:pPr>
        <w:pStyle w:val="ctext"/>
        <w:rPr>
          <w:rFonts w:cs="Arial"/>
          <w:szCs w:val="21"/>
        </w:rPr>
      </w:pPr>
      <w:r w:rsidRPr="00C7263A">
        <w:t xml:space="preserve">In addition to activities tracked for practice support, DMS will assess a practice’s low performance of core metrics.  The selected core metrics will be announced at </w:t>
      </w:r>
      <w:hyperlink r:id="rId21" w:history="1">
        <w:r w:rsidRPr="00C7263A">
          <w:rPr>
            <w:rStyle w:val="Hyperlink"/>
          </w:rPr>
          <w:t>http://www.paymentinitiative.org/pcmh-manual-and-additional-resources</w:t>
        </w:r>
      </w:hyperlink>
      <w:r w:rsidRPr="00C7263A">
        <w:rPr>
          <w:rStyle w:val="Hyperlink"/>
        </w:rPr>
        <w:t>.</w:t>
      </w:r>
      <w:r w:rsidRPr="00AD347B">
        <w:t xml:space="preserve">  </w:t>
      </w:r>
      <w:r w:rsidRPr="00C7263A">
        <w:rPr>
          <w:rFonts w:cs="Arial"/>
          <w:szCs w:val="21"/>
        </w:rPr>
        <w:t>It is incumbent upon the PCMH to review the selected core metrics that have been announced.</w:t>
      </w:r>
    </w:p>
    <w:p w14:paraId="271EC00D" w14:textId="77777777" w:rsidR="00666608" w:rsidRPr="00C7263A" w:rsidRDefault="00666608" w:rsidP="00666608">
      <w:pPr>
        <w:pStyle w:val="ctext"/>
      </w:pPr>
      <w:r w:rsidRPr="00C7263A">
        <w:t xml:space="preserve">Each year a Core Metric will be chosen to have its Minimal Performance assessed.  For example, in 2019 the Core Metric may be infant wellness.  A PCMH will be placed in remediation for the Infant Wellness Metric if 15% or greater </w:t>
      </w:r>
      <w:proofErr w:type="gramStart"/>
      <w:r w:rsidRPr="00C7263A">
        <w:t>of</w:t>
      </w:r>
      <w:proofErr w:type="gramEnd"/>
      <w:r w:rsidRPr="00C7263A">
        <w:t xml:space="preserve"> the patient panel (0-15 months), have 0-1 wellness visits and the PCMH does not meet the 2019 Quality Metric Target for 5 or more wellness visits.</w:t>
      </w:r>
    </w:p>
    <w:p w14:paraId="61BA83CB" w14:textId="77777777" w:rsidR="008C55C8" w:rsidRPr="00C7263A" w:rsidRDefault="00666608" w:rsidP="00666608">
      <w:pPr>
        <w:pStyle w:val="ctext"/>
      </w:pPr>
      <w:r w:rsidRPr="00C7263A">
        <w:rPr>
          <w:rFonts w:cs="Arial"/>
          <w:szCs w:val="21"/>
        </w:rPr>
        <w:t xml:space="preserve">Failure to meet the targets will result in a Notice of Failure to Meet Wellness Metrics Tracked for Practice Support. PCMHs which receive this notice will be subject to </w:t>
      </w:r>
      <w:proofErr w:type="gramStart"/>
      <w:r w:rsidRPr="00C7263A">
        <w:rPr>
          <w:rFonts w:cs="Arial"/>
          <w:szCs w:val="21"/>
        </w:rPr>
        <w:t>completion</w:t>
      </w:r>
      <w:proofErr w:type="gramEnd"/>
      <w:r w:rsidRPr="00C7263A">
        <w:rPr>
          <w:rFonts w:cs="Arial"/>
          <w:szCs w:val="21"/>
        </w:rPr>
        <w:t xml:space="preserve"> of a Quality Improvement Plan (QIP) and a 90-day remediation period.  The PCMH will have 15 calendar days to submit a sufficient QIP.  Failure to submit a sufficient QIP within 15 calendar days of receiving the notice will result in suspension of practice support.  PCMHs which receive </w:t>
      </w:r>
      <w:proofErr w:type="gramStart"/>
      <w:r w:rsidRPr="00C7263A">
        <w:rPr>
          <w:rFonts w:cs="Arial"/>
          <w:szCs w:val="21"/>
        </w:rPr>
        <w:t>a notice</w:t>
      </w:r>
      <w:proofErr w:type="gramEnd"/>
      <w:r w:rsidRPr="00C7263A">
        <w:rPr>
          <w:rFonts w:cs="Arial"/>
          <w:szCs w:val="21"/>
        </w:rPr>
        <w:t xml:space="preserve"> will have 90 calendar days, from the date of the notice, to remediate performance of the metric. Successful completion of remediation will be determined by DMS based on the metric results reported in the monthly PCMH report, posted in the AHIN portal, the following month after remediation ends. If a PCMH fails to meet the deadlines or targets for the wellness metrics tracked for practice support within the specified remediation time, then DMS will suspend practice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06939" w:rsidRPr="00C7263A" w14:paraId="1571D2B1" w14:textId="77777777" w:rsidTr="004B13F0">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B5EF11D" w14:textId="77777777" w:rsidR="00E06939" w:rsidRPr="00C7263A" w:rsidRDefault="00E06939" w:rsidP="00E06939">
            <w:pPr>
              <w:pStyle w:val="chead2"/>
            </w:pPr>
            <w:bookmarkStart w:id="26" w:name="_Toc199244433"/>
            <w:r w:rsidRPr="00C7263A">
              <w:t>242.000</w:t>
            </w:r>
            <w:r w:rsidRPr="00C7263A">
              <w:tab/>
              <w:t>Accountability for Practice Support</w:t>
            </w:r>
            <w:bookmarkEnd w:id="26"/>
          </w:p>
        </w:tc>
        <w:tc>
          <w:tcPr>
            <w:tcW w:w="1238" w:type="dxa"/>
            <w:tcBorders>
              <w:top w:val="single" w:sz="2" w:space="0" w:color="FFFFFF"/>
              <w:left w:val="single" w:sz="6" w:space="0" w:color="FFFFFF"/>
              <w:bottom w:val="single" w:sz="2" w:space="0" w:color="FFFFFF"/>
              <w:right w:val="single" w:sz="2" w:space="0" w:color="FFFFFF"/>
            </w:tcBorders>
          </w:tcPr>
          <w:p w14:paraId="1454D4BB" w14:textId="77777777" w:rsidR="00E06939" w:rsidRPr="00C7263A" w:rsidRDefault="00E06939" w:rsidP="00E06939">
            <w:pPr>
              <w:pStyle w:val="cDate2"/>
            </w:pPr>
            <w:r w:rsidRPr="00C7263A">
              <w:t>1-1-16</w:t>
            </w:r>
          </w:p>
        </w:tc>
      </w:tr>
    </w:tbl>
    <w:p w14:paraId="4AAC9216" w14:textId="77777777" w:rsidR="00E06939" w:rsidRPr="00C7263A" w:rsidRDefault="00E06939" w:rsidP="004B13F0">
      <w:pPr>
        <w:pStyle w:val="ctext"/>
      </w:pPr>
      <w:r w:rsidRPr="00C7263A">
        <w:t xml:space="preserve">If a PCMH does not meet deadlines and targets for activities tracked for practice support as described in Section 241.000, then the practice must remediate its performance to avoid suspension or termination of practice support.  </w:t>
      </w:r>
    </w:p>
    <w:p w14:paraId="596D4243" w14:textId="77777777" w:rsidR="00E06939" w:rsidRPr="00C7263A" w:rsidRDefault="00E06939" w:rsidP="004B13F0">
      <w:pPr>
        <w:pStyle w:val="ctext"/>
      </w:pPr>
      <w:r w:rsidRPr="00C7263A">
        <w:t>DMS will verify whether attestation and required documentation was submitted as required by the PCMH program.  Failure to comply with this requirement will result in a Notice of Attestation Failure.</w:t>
      </w:r>
    </w:p>
    <w:p w14:paraId="4F93F03C" w14:textId="77777777" w:rsidR="00E06939" w:rsidRPr="00C7263A" w:rsidRDefault="00E06939" w:rsidP="004B13F0">
      <w:pPr>
        <w:pStyle w:val="ctext"/>
      </w:pPr>
      <w:r w:rsidRPr="00C7263A">
        <w:lastRenderedPageBreak/>
        <w:t xml:space="preserve">DMS will also validate whether attested activities met the PCMH program requirements.  Failure to pass validation will result in a Notice of Validation Failure. </w:t>
      </w:r>
    </w:p>
    <w:p w14:paraId="79741D36" w14:textId="77777777" w:rsidR="00E06939" w:rsidRPr="00C7263A" w:rsidRDefault="00E06939" w:rsidP="004B13F0">
      <w:pPr>
        <w:pStyle w:val="ctext"/>
      </w:pPr>
      <w:r w:rsidRPr="00C7263A">
        <w:t>PCMHs which received a Notice of Attestation Failure and/or PCMHs which received a Notice of Validation Failure will have 15 calendar days to submit sufficient QIP.  Failure to submit sufficient QIP within 15 days of receiving a Notice of Attestation Failure and/or a Notice of Validation Failure will result in suspension or termination of practice support.  PCMHs which receive a Notice of Attestation Failure will have 90 days to remediate their performance from the date of the Notice of Attestation Failure.  PCMHs which received a Notice of Validation Failure will have 45 days to remediate their performance from the date of the Notice of Validation Failure.</w:t>
      </w:r>
    </w:p>
    <w:p w14:paraId="7691A4A3" w14:textId="77777777" w:rsidR="00E06939" w:rsidRPr="00C7263A" w:rsidRDefault="00E06939" w:rsidP="004B13F0">
      <w:pPr>
        <w:pStyle w:val="ctext"/>
      </w:pPr>
      <w:r w:rsidRPr="00C7263A">
        <w:t xml:space="preserve">If a PCMH fails to meet the deadlines or targets for activities within the specified remediation time, then DMS will suspend or terminate practice support.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66608" w:rsidRPr="00C7263A" w14:paraId="56831DB2" w14:textId="77777777" w:rsidTr="00D65034">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C660384" w14:textId="77777777" w:rsidR="00666608" w:rsidRPr="00C7263A" w:rsidRDefault="00666608" w:rsidP="00D65034">
            <w:pPr>
              <w:pStyle w:val="chead2"/>
            </w:pPr>
            <w:bookmarkStart w:id="27" w:name="_Toc199244434"/>
            <w:r w:rsidRPr="00C7263A">
              <w:t>243.000</w:t>
            </w:r>
            <w:r w:rsidRPr="00C7263A">
              <w:tab/>
              <w:t>Quality Metrics Tracked for Performance-Based Incentive Payments</w:t>
            </w:r>
            <w:bookmarkEnd w:id="27"/>
          </w:p>
        </w:tc>
        <w:tc>
          <w:tcPr>
            <w:tcW w:w="1238" w:type="dxa"/>
            <w:tcBorders>
              <w:top w:val="single" w:sz="2" w:space="0" w:color="FFFFFF"/>
              <w:left w:val="single" w:sz="6" w:space="0" w:color="FFFFFF"/>
              <w:bottom w:val="single" w:sz="2" w:space="0" w:color="FFFFFF"/>
              <w:right w:val="single" w:sz="2" w:space="0" w:color="FFFFFF"/>
            </w:tcBorders>
          </w:tcPr>
          <w:p w14:paraId="00A1B400" w14:textId="77777777" w:rsidR="00666608" w:rsidRPr="00C7263A" w:rsidRDefault="00666608" w:rsidP="00D65034">
            <w:pPr>
              <w:pStyle w:val="cDate2"/>
            </w:pPr>
            <w:r w:rsidRPr="00C7263A">
              <w:t>1-1-19</w:t>
            </w:r>
          </w:p>
        </w:tc>
      </w:tr>
    </w:tbl>
    <w:p w14:paraId="7F170A41" w14:textId="77777777" w:rsidR="00666608" w:rsidRPr="00C7263A" w:rsidRDefault="00666608" w:rsidP="00666608">
      <w:pPr>
        <w:pStyle w:val="ctext"/>
      </w:pPr>
      <w:r w:rsidRPr="00C7263A">
        <w:t xml:space="preserve">DMS assesses quality metrics tracked for performance-based incentive payments according to the targets announced by DMS at </w:t>
      </w:r>
      <w:hyperlink r:id="rId22" w:history="1">
        <w:r w:rsidRPr="00C7263A">
          <w:rPr>
            <w:rStyle w:val="Hyperlink"/>
          </w:rPr>
          <w:t>www.paymentiniti</w:t>
        </w:r>
        <w:r w:rsidRPr="00C7263A">
          <w:rPr>
            <w:rStyle w:val="Hyperlink"/>
          </w:rPr>
          <w:t>a</w:t>
        </w:r>
        <w:r w:rsidRPr="00C7263A">
          <w:rPr>
            <w:rStyle w:val="Hyperlink"/>
          </w:rPr>
          <w:t>tive.org</w:t>
        </w:r>
      </w:hyperlink>
      <w:r w:rsidRPr="00C7263A">
        <w:t xml:space="preserve">.  To receive a performance-based incentive payment, the shared performance entity or PCMH must meet the quality metrics by which the entity or PCMH is assessed and published on the APII website at </w:t>
      </w:r>
      <w:hyperlink r:id="rId23" w:history="1">
        <w:r w:rsidRPr="00C7263A">
          <w:rPr>
            <w:rStyle w:val="Hyperlink"/>
          </w:rPr>
          <w:t>http://www.paymentinitiative.org/pcmh-manual-and-additional-resources</w:t>
        </w:r>
      </w:hyperlink>
      <w:r w:rsidRPr="00C7263A">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66608" w:rsidRPr="00C7263A" w14:paraId="2A4A8C12" w14:textId="77777777" w:rsidTr="00D65034">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1F16E0E" w14:textId="77777777" w:rsidR="00666608" w:rsidRPr="00C7263A" w:rsidRDefault="00666608" w:rsidP="00D65034">
            <w:pPr>
              <w:pStyle w:val="chead2"/>
            </w:pPr>
            <w:bookmarkStart w:id="28" w:name="_Toc199244435"/>
            <w:r w:rsidRPr="00C7263A">
              <w:t>244.000</w:t>
            </w:r>
            <w:r w:rsidRPr="00C7263A">
              <w:tab/>
              <w:t>Provider Reports</w:t>
            </w:r>
            <w:bookmarkEnd w:id="28"/>
          </w:p>
        </w:tc>
        <w:tc>
          <w:tcPr>
            <w:tcW w:w="1238" w:type="dxa"/>
            <w:tcBorders>
              <w:top w:val="single" w:sz="2" w:space="0" w:color="FFFFFF"/>
              <w:left w:val="single" w:sz="6" w:space="0" w:color="FFFFFF"/>
              <w:bottom w:val="single" w:sz="2" w:space="0" w:color="FFFFFF"/>
              <w:right w:val="single" w:sz="2" w:space="0" w:color="FFFFFF"/>
            </w:tcBorders>
          </w:tcPr>
          <w:p w14:paraId="1617CE1B" w14:textId="77777777" w:rsidR="00666608" w:rsidRPr="00C7263A" w:rsidRDefault="00666608" w:rsidP="00D65034">
            <w:pPr>
              <w:pStyle w:val="cDate2"/>
            </w:pPr>
            <w:r w:rsidRPr="00C7263A">
              <w:t>1-1-19</w:t>
            </w:r>
          </w:p>
        </w:tc>
      </w:tr>
    </w:tbl>
    <w:p w14:paraId="08EC531A" w14:textId="77777777" w:rsidR="00666608" w:rsidRPr="00C7263A" w:rsidRDefault="00666608" w:rsidP="00666608">
      <w:pPr>
        <w:pStyle w:val="ctext"/>
      </w:pPr>
      <w:r w:rsidRPr="00C7263A">
        <w:t>DMS provides participating PCMH provider reports containing information about their PCMH performance on activities tracked for practice support, quality metrics tracked for performance-based incentive payments and their utilization rates via the provider portal.</w:t>
      </w:r>
    </w:p>
    <w:p w14:paraId="6D3CC7A3" w14:textId="77777777" w:rsidR="00666608" w:rsidRPr="00C7263A" w:rsidRDefault="00666608" w:rsidP="00666608">
      <w:pPr>
        <w:pStyle w:val="ctext"/>
      </w:pPr>
      <w:r w:rsidRPr="00C7263A">
        <w:t xml:space="preserve">Failing to submit any updated license, address changes or changes to the Provider Id number, may result in provider reports with no beneficiary attribution. Providers may update </w:t>
      </w:r>
      <w:proofErr w:type="gramStart"/>
      <w:r w:rsidRPr="00C7263A">
        <w:t>at any time their licenses</w:t>
      </w:r>
      <w:proofErr w:type="gramEnd"/>
      <w:r w:rsidRPr="00C7263A">
        <w:t>, address changes, or changes to their Provider ID number by submitting documentation to the Provider Enrollment unit via fax at (501) 374-0746.</w:t>
      </w:r>
      <w:r w:rsidRPr="00C7263A" w:rsidDel="00BA7B03">
        <w:t xml:space="preserve"> </w:t>
      </w:r>
      <w:r w:rsidRPr="00C7263A">
        <w:t xml:space="preserve">Providers who have concerns about information included in their reports should send an email to </w:t>
      </w:r>
      <w:hyperlink r:id="rId24" w:history="1">
        <w:r w:rsidRPr="00C7263A">
          <w:rPr>
            <w:rStyle w:val="Hyperlink"/>
          </w:rPr>
          <w:t>PCMH@AFMC.org</w:t>
        </w:r>
      </w:hyperlink>
      <w:r w:rsidRPr="00C7263A">
        <w:t xml:space="preserve">.  The PCMH Quality Assurance Manager will respond to the provider/practice with a review of their inquiry.  If the review leads to a discovery that the provider report is inaccurate or does not reflect actual performance, DMS will take the necessary steps to correct the inaccuracies including those that are a result of a systems and/or algorithm error.  Providers can also call the APII help desk at 501-301-8311 or 866-322-4698 and by email at </w:t>
      </w:r>
      <w:hyperlink r:id="rId25" w:history="1">
        <w:r w:rsidRPr="00C7263A">
          <w:rPr>
            <w:rStyle w:val="Hyperlink"/>
          </w:rPr>
          <w:t>ARKPII@DXC.com</w:t>
        </w:r>
      </w:hyperlink>
      <w:r w:rsidRPr="00C7263A">
        <w:t>.</w:t>
      </w:r>
    </w:p>
    <w:p w14:paraId="4FC3A516" w14:textId="77777777" w:rsidR="00666608" w:rsidRPr="00C7263A" w:rsidRDefault="00666608" w:rsidP="00666608">
      <w:pPr>
        <w:pStyle w:val="CLETTERED"/>
      </w:pPr>
      <w:r w:rsidRPr="00C7263A">
        <w:t>Appeals</w:t>
      </w:r>
    </w:p>
    <w:p w14:paraId="1FA113FC" w14:textId="77777777" w:rsidR="00666608" w:rsidRPr="00C7263A" w:rsidRDefault="00666608" w:rsidP="00666608">
      <w:pPr>
        <w:pStyle w:val="CLETTERED"/>
      </w:pPr>
      <w:r w:rsidRPr="00C7263A">
        <w:tab/>
        <w:t xml:space="preserve">If you disagree with DMS’ decision regarding program participation, </w:t>
      </w:r>
      <w:proofErr w:type="gramStart"/>
      <w:r w:rsidRPr="00C7263A">
        <w:t>payment</w:t>
      </w:r>
      <w:proofErr w:type="gramEnd"/>
      <w:r w:rsidRPr="00C7263A">
        <w:t xml:space="preserve"> or other adverse action, you have the right to request reconsideration and you have the right to request an administrative appeal.  During the remediation period, and prior to the notice of adverse action, practices continue receiving practice support payments.  However, DMS will not pay practice support payments after the notice of adverse action.  If the practice prevails during the appeal, or reconsideration, the practice support payments will resume retroactively from the date of the adverse action notice.</w:t>
      </w:r>
    </w:p>
    <w:p w14:paraId="01887FF8" w14:textId="77777777" w:rsidR="00666608" w:rsidRPr="00C7263A" w:rsidRDefault="00666608" w:rsidP="00666608">
      <w:pPr>
        <w:pStyle w:val="CLETTERED"/>
      </w:pPr>
      <w:r w:rsidRPr="00C7263A">
        <w:t>A.</w:t>
      </w:r>
      <w:r w:rsidRPr="00C7263A">
        <w:tab/>
        <w:t>Request Reconsideration</w:t>
      </w:r>
    </w:p>
    <w:p w14:paraId="6CA20344" w14:textId="77777777" w:rsidR="00666608" w:rsidRPr="00C7263A" w:rsidRDefault="00666608" w:rsidP="00666608">
      <w:pPr>
        <w:pStyle w:val="CLETTERED"/>
      </w:pPr>
      <w:r w:rsidRPr="00C7263A">
        <w:tab/>
        <w:t xml:space="preserve">The Department of Human Services must receive </w:t>
      </w:r>
      <w:proofErr w:type="gramStart"/>
      <w:r w:rsidRPr="00C7263A">
        <w:t>written</w:t>
      </w:r>
      <w:proofErr w:type="gramEnd"/>
      <w:r w:rsidRPr="00C7263A">
        <w:t xml:space="preserve"> request for reconsideration within (30) calendar days of the date of the </w:t>
      </w:r>
      <w:proofErr w:type="gramStart"/>
      <w:r w:rsidRPr="00C7263A">
        <w:t>adverse action,</w:t>
      </w:r>
      <w:proofErr w:type="gramEnd"/>
      <w:r w:rsidRPr="00C7263A">
        <w:t xml:space="preserve"> notice. Send your request to the Arkansas Department of Human Services, Division of Medical Services, Health Care Innovation:  Attention PCMH – Reconsideration, P.O. Box 1437, Slot S425, Little Rock, AR 72203.</w:t>
      </w:r>
    </w:p>
    <w:p w14:paraId="1E642E0F" w14:textId="77777777" w:rsidR="00666608" w:rsidRPr="00C7263A" w:rsidRDefault="00666608" w:rsidP="00666608">
      <w:pPr>
        <w:pStyle w:val="CLETTERED"/>
      </w:pPr>
      <w:r w:rsidRPr="00C7263A">
        <w:t>B.</w:t>
      </w:r>
      <w:r w:rsidRPr="00C7263A">
        <w:tab/>
        <w:t>Request an Administrative Appeal</w:t>
      </w:r>
    </w:p>
    <w:p w14:paraId="17411395" w14:textId="6345B75A" w:rsidR="00C7263A" w:rsidRDefault="00666608" w:rsidP="00AD347B">
      <w:pPr>
        <w:pStyle w:val="CLETTERED"/>
      </w:pPr>
      <w:r w:rsidRPr="00C7263A">
        <w:lastRenderedPageBreak/>
        <w:tab/>
        <w:t>The Arkansas Department of Health must receive a written appeals request within (30) calendar days of the date of the adverse action notice, or within (10) calendar days of receiving a reconsideration decision.  Send your request to Arkansas Department of Health: Attention: Medicaid Provider Appeals Office, 4815 West Markham Street, Slot 31, Little Rock, AR 72205.</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000" w:firstRow="0" w:lastRow="0" w:firstColumn="0" w:lastColumn="0" w:noHBand="0" w:noVBand="0"/>
      </w:tblPr>
      <w:tblGrid>
        <w:gridCol w:w="8122"/>
        <w:gridCol w:w="1238"/>
      </w:tblGrid>
      <w:tr w:rsidR="00C7263A" w:rsidRPr="00920ADD" w14:paraId="64321A52" w14:textId="77777777" w:rsidTr="005F6D70">
        <w:tblPrEx>
          <w:tblCellMar>
            <w:top w:w="0" w:type="dxa"/>
            <w:bottom w:w="0" w:type="dxa"/>
          </w:tblCellMar>
        </w:tblPrEx>
        <w:trPr>
          <w:cantSplit/>
        </w:trPr>
        <w:tc>
          <w:tcPr>
            <w:tcW w:w="8122" w:type="dxa"/>
          </w:tcPr>
          <w:p w14:paraId="7AE9FFB3" w14:textId="77777777" w:rsidR="00C7263A" w:rsidRPr="00920ADD" w:rsidRDefault="00C7263A" w:rsidP="005F6D70">
            <w:pPr>
              <w:pStyle w:val="chead2"/>
              <w:rPr>
                <w:highlight w:val="yellow"/>
              </w:rPr>
            </w:pPr>
            <w:bookmarkStart w:id="29" w:name="_Toc78207829"/>
            <w:bookmarkStart w:id="30" w:name="_Toc199244436"/>
            <w:r w:rsidRPr="00920ADD">
              <w:rPr>
                <w:highlight w:val="yellow"/>
              </w:rPr>
              <w:t>244.100</w:t>
            </w:r>
            <w:r w:rsidRPr="00920ADD">
              <w:rPr>
                <w:highlight w:val="yellow"/>
              </w:rPr>
              <w:tab/>
            </w:r>
            <w:bookmarkEnd w:id="29"/>
            <w:r w:rsidRPr="00920ADD">
              <w:rPr>
                <w:highlight w:val="yellow"/>
              </w:rPr>
              <w:t>Administrative Reconsideration and Appeals</w:t>
            </w:r>
            <w:bookmarkEnd w:id="30"/>
          </w:p>
        </w:tc>
        <w:tc>
          <w:tcPr>
            <w:tcW w:w="1238" w:type="dxa"/>
          </w:tcPr>
          <w:p w14:paraId="7E036B23" w14:textId="77777777" w:rsidR="00C7263A" w:rsidRPr="00920ADD" w:rsidRDefault="00C7263A" w:rsidP="005F6D70">
            <w:pPr>
              <w:pStyle w:val="cDate2"/>
              <w:rPr>
                <w:highlight w:val="yellow"/>
              </w:rPr>
            </w:pPr>
            <w:r>
              <w:rPr>
                <w:highlight w:val="yellow"/>
              </w:rPr>
              <w:t>6-1-25</w:t>
            </w:r>
          </w:p>
        </w:tc>
      </w:tr>
    </w:tbl>
    <w:p w14:paraId="71289853" w14:textId="77777777" w:rsidR="00C7263A" w:rsidRPr="00920ADD" w:rsidRDefault="00C7263A" w:rsidP="00C7263A">
      <w:pPr>
        <w:pStyle w:val="CLETTERED"/>
        <w:rPr>
          <w:highlight w:val="yellow"/>
        </w:rPr>
      </w:pPr>
      <w:r w:rsidRPr="00920ADD">
        <w:rPr>
          <w:highlight w:val="yellow"/>
        </w:rPr>
        <w:t>A.</w:t>
      </w:r>
      <w:r w:rsidRPr="00920ADD">
        <w:rPr>
          <w:highlight w:val="yellow"/>
        </w:rPr>
        <w:tab/>
        <w:t xml:space="preserve">A provider that disagrees with a DMS decision regarding program participation, payment, or other adverse action may request </w:t>
      </w:r>
      <w:proofErr w:type="gramStart"/>
      <w:r w:rsidRPr="00920ADD">
        <w:rPr>
          <w:highlight w:val="yellow"/>
        </w:rPr>
        <w:t>an administrative</w:t>
      </w:r>
      <w:proofErr w:type="gramEnd"/>
      <w:r w:rsidRPr="00920ADD">
        <w:rPr>
          <w:highlight w:val="yellow"/>
        </w:rPr>
        <w:t xml:space="preserve"> reconsideration. Reconsideration requests must be submitted in accordance with Section 160.000 of Section I of this Manual. DMS will not pay practice support payments after the notice of adverse action. If the practice prevails during the appeal, or reconsideration, the practice support payments will resume retroactively from the date of the adverse action notice.</w:t>
      </w:r>
    </w:p>
    <w:p w14:paraId="4E9541D6" w14:textId="01B920E1" w:rsidR="00FB5836" w:rsidRPr="00512EFE" w:rsidRDefault="00C7263A" w:rsidP="00AD347B">
      <w:pPr>
        <w:pStyle w:val="CLETTERED"/>
      </w:pPr>
      <w:r w:rsidRPr="00920ADD">
        <w:rPr>
          <w:highlight w:val="yellow"/>
        </w:rPr>
        <w:t>B.</w:t>
      </w:r>
      <w:r w:rsidRPr="00920ADD">
        <w:rPr>
          <w:highlight w:val="yellow"/>
        </w:rPr>
        <w:tab/>
        <w:t>If DMS upholds the decision upon administrative reconsideration, the provider may request a fair hearing. A request for a fair hearing must be submitted in accordance with Sections 160.000, 190.000, and 191.000 of Section I of this Manual.</w:t>
      </w:r>
    </w:p>
    <w:sectPr w:rsidR="00FB5836" w:rsidRPr="00512EFE">
      <w:headerReference w:type="default" r:id="rId26"/>
      <w:footerReference w:type="default" r:id="rId27"/>
      <w:pgSz w:w="12240" w:h="15840" w:code="1"/>
      <w:pgMar w:top="1080" w:right="1440" w:bottom="720" w:left="1440" w:header="720" w:footer="360"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C133E" w14:textId="77777777" w:rsidR="00955122" w:rsidRDefault="00955122">
      <w:r>
        <w:separator/>
      </w:r>
    </w:p>
  </w:endnote>
  <w:endnote w:type="continuationSeparator" w:id="0">
    <w:p w14:paraId="4BCC0F16" w14:textId="77777777" w:rsidR="00955122" w:rsidRDefault="0095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4DEFC" w14:textId="77777777" w:rsidR="008F74C9" w:rsidRDefault="008F74C9" w:rsidP="008F74C9">
    <w:pPr>
      <w:pStyle w:val="Footer"/>
    </w:pPr>
    <w:r>
      <w:tab/>
      <w:t>Section II-</w:t>
    </w:r>
    <w:r>
      <w:fldChar w:fldCharType="begin"/>
    </w:r>
    <w:r>
      <w:instrText xml:space="preserve"> PAGE </w:instrText>
    </w:r>
    <w:r>
      <w:fldChar w:fldCharType="separate"/>
    </w:r>
    <w:r w:rsidR="00666608">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75C08" w14:textId="77777777" w:rsidR="00955122" w:rsidRDefault="00955122">
      <w:r>
        <w:separator/>
      </w:r>
    </w:p>
  </w:footnote>
  <w:footnote w:type="continuationSeparator" w:id="0">
    <w:p w14:paraId="081FD836" w14:textId="77777777" w:rsidR="00955122" w:rsidRDefault="00955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DA123" w14:textId="77777777" w:rsidR="008F74C9" w:rsidRDefault="008F74C9" w:rsidP="008F74C9">
    <w:pPr>
      <w:pStyle w:val="Header"/>
      <w:pBdr>
        <w:bottom w:val="single" w:sz="8" w:space="1" w:color="000000"/>
      </w:pBdr>
      <w:tabs>
        <w:tab w:val="left" w:pos="2539"/>
      </w:tabs>
      <w:spacing w:after="120"/>
    </w:pPr>
    <w:r>
      <w:t>Patient-Centered Medical Home</w:t>
    </w:r>
    <w:r>
      <w:tab/>
    </w:r>
    <w:r>
      <w:tab/>
      <w:t>Section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CC98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134B0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B816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A14D3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00A9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12DA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F08E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C066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56E0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502E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FA2274"/>
    <w:multiLevelType w:val="hybridMultilevel"/>
    <w:tmpl w:val="BB6E1248"/>
    <w:lvl w:ilvl="0" w:tplc="BC86E1E6">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1" w15:restartNumberingAfterBreak="0">
    <w:nsid w:val="0A5C2D73"/>
    <w:multiLevelType w:val="hybridMultilevel"/>
    <w:tmpl w:val="4F68C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9F78FF"/>
    <w:multiLevelType w:val="hybridMultilevel"/>
    <w:tmpl w:val="EF5C36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6B580C"/>
    <w:multiLevelType w:val="hybridMultilevel"/>
    <w:tmpl w:val="192648E2"/>
    <w:lvl w:ilvl="0" w:tplc="50B49AC6">
      <w:start w:val="1"/>
      <w:numFmt w:val="decimal"/>
      <w:lvlText w:val="%1."/>
      <w:lvlJc w:val="left"/>
      <w:pPr>
        <w:ind w:left="12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B41B3F"/>
    <w:multiLevelType w:val="hybridMultilevel"/>
    <w:tmpl w:val="F090668C"/>
    <w:lvl w:ilvl="0" w:tplc="7C6841CE">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5" w15:restartNumberingAfterBreak="0">
    <w:nsid w:val="15B905F0"/>
    <w:multiLevelType w:val="hybridMultilevel"/>
    <w:tmpl w:val="69681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924FFF"/>
    <w:multiLevelType w:val="hybridMultilevel"/>
    <w:tmpl w:val="4468DD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6144E8"/>
    <w:multiLevelType w:val="hybridMultilevel"/>
    <w:tmpl w:val="93165ECC"/>
    <w:lvl w:ilvl="0" w:tplc="E89AF2F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8" w15:restartNumberingAfterBreak="0">
    <w:nsid w:val="19D47DCF"/>
    <w:multiLevelType w:val="hybridMultilevel"/>
    <w:tmpl w:val="F3106D36"/>
    <w:lvl w:ilvl="0" w:tplc="BA54B76A">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9" w15:restartNumberingAfterBreak="0">
    <w:nsid w:val="214460BB"/>
    <w:multiLevelType w:val="hybridMultilevel"/>
    <w:tmpl w:val="90FC8D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A92EC9"/>
    <w:multiLevelType w:val="hybridMultilevel"/>
    <w:tmpl w:val="04E89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AB58A6"/>
    <w:multiLevelType w:val="hybridMultilevel"/>
    <w:tmpl w:val="A16C4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6522E1"/>
    <w:multiLevelType w:val="hybridMultilevel"/>
    <w:tmpl w:val="07826D6E"/>
    <w:lvl w:ilvl="0" w:tplc="A2C87E3A">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3" w15:restartNumberingAfterBreak="0">
    <w:nsid w:val="34CA5CE3"/>
    <w:multiLevelType w:val="hybridMultilevel"/>
    <w:tmpl w:val="55BA34EE"/>
    <w:lvl w:ilvl="0" w:tplc="23B05EE8">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4" w15:restartNumberingAfterBreak="0">
    <w:nsid w:val="39B63739"/>
    <w:multiLevelType w:val="hybridMultilevel"/>
    <w:tmpl w:val="7EC01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7755B2"/>
    <w:multiLevelType w:val="hybridMultilevel"/>
    <w:tmpl w:val="05468C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1C1E5A"/>
    <w:multiLevelType w:val="hybridMultilevel"/>
    <w:tmpl w:val="023871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5144A9"/>
    <w:multiLevelType w:val="hybridMultilevel"/>
    <w:tmpl w:val="8C1477EC"/>
    <w:lvl w:ilvl="0" w:tplc="D2A6C27C">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8" w15:restartNumberingAfterBreak="0">
    <w:nsid w:val="516A1AEA"/>
    <w:multiLevelType w:val="hybridMultilevel"/>
    <w:tmpl w:val="7E66B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277572A"/>
    <w:multiLevelType w:val="hybridMultilevel"/>
    <w:tmpl w:val="C67288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DC3B47"/>
    <w:multiLevelType w:val="hybridMultilevel"/>
    <w:tmpl w:val="D0364C1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B5762D4"/>
    <w:multiLevelType w:val="hybridMultilevel"/>
    <w:tmpl w:val="28C2F8BC"/>
    <w:lvl w:ilvl="0" w:tplc="04184602">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2" w15:restartNumberingAfterBreak="0">
    <w:nsid w:val="63F60F38"/>
    <w:multiLevelType w:val="hybridMultilevel"/>
    <w:tmpl w:val="C456C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BE453D"/>
    <w:multiLevelType w:val="hybridMultilevel"/>
    <w:tmpl w:val="61AA106E"/>
    <w:lvl w:ilvl="0" w:tplc="78B8CB36">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4" w15:restartNumberingAfterBreak="0">
    <w:nsid w:val="77E3155F"/>
    <w:multiLevelType w:val="hybridMultilevel"/>
    <w:tmpl w:val="80A8162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C767CE0"/>
    <w:multiLevelType w:val="hybridMultilevel"/>
    <w:tmpl w:val="4F6665BA"/>
    <w:lvl w:ilvl="0" w:tplc="D226B2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7616FA"/>
    <w:multiLevelType w:val="hybridMultilevel"/>
    <w:tmpl w:val="69681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5268480">
    <w:abstractNumId w:val="9"/>
  </w:num>
  <w:num w:numId="2" w16cid:durableId="1198855549">
    <w:abstractNumId w:val="7"/>
  </w:num>
  <w:num w:numId="3" w16cid:durableId="310332149">
    <w:abstractNumId w:val="6"/>
  </w:num>
  <w:num w:numId="4" w16cid:durableId="1619751696">
    <w:abstractNumId w:val="5"/>
  </w:num>
  <w:num w:numId="5" w16cid:durableId="1787577623">
    <w:abstractNumId w:val="4"/>
  </w:num>
  <w:num w:numId="6" w16cid:durableId="1454858510">
    <w:abstractNumId w:val="8"/>
  </w:num>
  <w:num w:numId="7" w16cid:durableId="572466602">
    <w:abstractNumId w:val="3"/>
  </w:num>
  <w:num w:numId="8" w16cid:durableId="738290073">
    <w:abstractNumId w:val="2"/>
  </w:num>
  <w:num w:numId="9" w16cid:durableId="1710104726">
    <w:abstractNumId w:val="1"/>
  </w:num>
  <w:num w:numId="10" w16cid:durableId="1574200990">
    <w:abstractNumId w:val="0"/>
  </w:num>
  <w:num w:numId="11" w16cid:durableId="447697291">
    <w:abstractNumId w:val="28"/>
  </w:num>
  <w:num w:numId="12" w16cid:durableId="248538130">
    <w:abstractNumId w:val="30"/>
  </w:num>
  <w:num w:numId="13" w16cid:durableId="1074860067">
    <w:abstractNumId w:val="21"/>
  </w:num>
  <w:num w:numId="14" w16cid:durableId="1300305217">
    <w:abstractNumId w:val="26"/>
  </w:num>
  <w:num w:numId="15" w16cid:durableId="287400373">
    <w:abstractNumId w:val="12"/>
  </w:num>
  <w:num w:numId="16" w16cid:durableId="923807008">
    <w:abstractNumId w:val="19"/>
  </w:num>
  <w:num w:numId="17" w16cid:durableId="1874808221">
    <w:abstractNumId w:val="20"/>
  </w:num>
  <w:num w:numId="18" w16cid:durableId="1099330392">
    <w:abstractNumId w:val="11"/>
  </w:num>
  <w:num w:numId="19" w16cid:durableId="998385686">
    <w:abstractNumId w:val="32"/>
  </w:num>
  <w:num w:numId="20" w16cid:durableId="359552607">
    <w:abstractNumId w:val="24"/>
  </w:num>
  <w:num w:numId="21" w16cid:durableId="854655850">
    <w:abstractNumId w:val="27"/>
  </w:num>
  <w:num w:numId="22" w16cid:durableId="699359735">
    <w:abstractNumId w:val="35"/>
  </w:num>
  <w:num w:numId="23" w16cid:durableId="29645102">
    <w:abstractNumId w:val="29"/>
  </w:num>
  <w:num w:numId="24" w16cid:durableId="2112385630">
    <w:abstractNumId w:val="34"/>
  </w:num>
  <w:num w:numId="25" w16cid:durableId="1600337552">
    <w:abstractNumId w:val="13"/>
  </w:num>
  <w:num w:numId="26" w16cid:durableId="2034649632">
    <w:abstractNumId w:val="14"/>
  </w:num>
  <w:num w:numId="27" w16cid:durableId="1602835980">
    <w:abstractNumId w:val="18"/>
  </w:num>
  <w:num w:numId="28" w16cid:durableId="1379551555">
    <w:abstractNumId w:val="15"/>
  </w:num>
  <w:num w:numId="29" w16cid:durableId="1333946723">
    <w:abstractNumId w:val="16"/>
  </w:num>
  <w:num w:numId="30" w16cid:durableId="1341539901">
    <w:abstractNumId w:val="36"/>
  </w:num>
  <w:num w:numId="31" w16cid:durableId="1718358286">
    <w:abstractNumId w:val="25"/>
  </w:num>
  <w:num w:numId="32" w16cid:durableId="1875069681">
    <w:abstractNumId w:val="17"/>
  </w:num>
  <w:num w:numId="33" w16cid:durableId="1002582293">
    <w:abstractNumId w:val="23"/>
  </w:num>
  <w:num w:numId="34" w16cid:durableId="834300733">
    <w:abstractNumId w:val="22"/>
  </w:num>
  <w:num w:numId="35" w16cid:durableId="1649506073">
    <w:abstractNumId w:val="31"/>
  </w:num>
  <w:num w:numId="36" w16cid:durableId="1324359494">
    <w:abstractNumId w:val="33"/>
  </w:num>
  <w:num w:numId="37" w16cid:durableId="20323777">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trackedChanges" w:enforcement="0"/>
  <w:defaultTabStop w:val="720"/>
  <w:displayHorizontalDrawingGridEvery w:val="0"/>
  <w:displayVerticalDrawingGridEvery w:val="0"/>
  <w:doNotUseMarginsForDrawingGridOrigin/>
  <w:doNotShadeFormData/>
  <w:noPunctuationKerning/>
  <w:characterSpacingControl w:val="doNotCompress"/>
  <w:hdrShapeDefaults>
    <o:shapedefaults v:ext="edit" spidmax="3074">
      <v:stroke weight="1.5pt"/>
    </o:shapedefaults>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32FA"/>
    <w:rsid w:val="00002D3D"/>
    <w:rsid w:val="00027C3D"/>
    <w:rsid w:val="00034A21"/>
    <w:rsid w:val="000411E5"/>
    <w:rsid w:val="00052593"/>
    <w:rsid w:val="000732F4"/>
    <w:rsid w:val="00082A31"/>
    <w:rsid w:val="00093EFD"/>
    <w:rsid w:val="000A5971"/>
    <w:rsid w:val="000A7778"/>
    <w:rsid w:val="00146A58"/>
    <w:rsid w:val="00153420"/>
    <w:rsid w:val="00193371"/>
    <w:rsid w:val="00197CCB"/>
    <w:rsid w:val="001A34DB"/>
    <w:rsid w:val="00204D48"/>
    <w:rsid w:val="002107A2"/>
    <w:rsid w:val="002353BC"/>
    <w:rsid w:val="00237A50"/>
    <w:rsid w:val="00244386"/>
    <w:rsid w:val="00261559"/>
    <w:rsid w:val="00270F78"/>
    <w:rsid w:val="002A49CB"/>
    <w:rsid w:val="002C2734"/>
    <w:rsid w:val="002E1352"/>
    <w:rsid w:val="002E5DF0"/>
    <w:rsid w:val="00312957"/>
    <w:rsid w:val="0035376D"/>
    <w:rsid w:val="00370F47"/>
    <w:rsid w:val="00394DFA"/>
    <w:rsid w:val="003E47C5"/>
    <w:rsid w:val="003F4D95"/>
    <w:rsid w:val="00425513"/>
    <w:rsid w:val="00455320"/>
    <w:rsid w:val="00481069"/>
    <w:rsid w:val="00486A8A"/>
    <w:rsid w:val="00492616"/>
    <w:rsid w:val="004A4DBA"/>
    <w:rsid w:val="004B13F0"/>
    <w:rsid w:val="004B1B50"/>
    <w:rsid w:val="004B7446"/>
    <w:rsid w:val="004C70A6"/>
    <w:rsid w:val="004D2571"/>
    <w:rsid w:val="004E3ADC"/>
    <w:rsid w:val="00512EFE"/>
    <w:rsid w:val="0053273D"/>
    <w:rsid w:val="00543105"/>
    <w:rsid w:val="005443BB"/>
    <w:rsid w:val="0056205C"/>
    <w:rsid w:val="00573910"/>
    <w:rsid w:val="00581BA3"/>
    <w:rsid w:val="005A0896"/>
    <w:rsid w:val="005A372F"/>
    <w:rsid w:val="005A64CB"/>
    <w:rsid w:val="005B4662"/>
    <w:rsid w:val="00624411"/>
    <w:rsid w:val="0063505E"/>
    <w:rsid w:val="00666608"/>
    <w:rsid w:val="0069778B"/>
    <w:rsid w:val="006E1693"/>
    <w:rsid w:val="006E40B6"/>
    <w:rsid w:val="006E4C8D"/>
    <w:rsid w:val="00700357"/>
    <w:rsid w:val="00712B41"/>
    <w:rsid w:val="00731411"/>
    <w:rsid w:val="00740CAA"/>
    <w:rsid w:val="00770946"/>
    <w:rsid w:val="00791259"/>
    <w:rsid w:val="007972E8"/>
    <w:rsid w:val="00857EBA"/>
    <w:rsid w:val="0087372C"/>
    <w:rsid w:val="00887E29"/>
    <w:rsid w:val="00894C4B"/>
    <w:rsid w:val="00897055"/>
    <w:rsid w:val="008A0F53"/>
    <w:rsid w:val="008A1115"/>
    <w:rsid w:val="008C55C8"/>
    <w:rsid w:val="008D10AF"/>
    <w:rsid w:val="008D44BA"/>
    <w:rsid w:val="008F2DCD"/>
    <w:rsid w:val="008F74C9"/>
    <w:rsid w:val="00904357"/>
    <w:rsid w:val="0091734F"/>
    <w:rsid w:val="00921A57"/>
    <w:rsid w:val="00922AD4"/>
    <w:rsid w:val="00924A4F"/>
    <w:rsid w:val="00955122"/>
    <w:rsid w:val="00955F6D"/>
    <w:rsid w:val="009651E5"/>
    <w:rsid w:val="00984A95"/>
    <w:rsid w:val="0098647A"/>
    <w:rsid w:val="009B1200"/>
    <w:rsid w:val="00A132FA"/>
    <w:rsid w:val="00A218FE"/>
    <w:rsid w:val="00A36D48"/>
    <w:rsid w:val="00A67266"/>
    <w:rsid w:val="00A72420"/>
    <w:rsid w:val="00A80C5E"/>
    <w:rsid w:val="00A95CC4"/>
    <w:rsid w:val="00A968DE"/>
    <w:rsid w:val="00AA3020"/>
    <w:rsid w:val="00AA5383"/>
    <w:rsid w:val="00AD347B"/>
    <w:rsid w:val="00AD5EDB"/>
    <w:rsid w:val="00AF593B"/>
    <w:rsid w:val="00B0171F"/>
    <w:rsid w:val="00B02DA2"/>
    <w:rsid w:val="00B11DB7"/>
    <w:rsid w:val="00B13929"/>
    <w:rsid w:val="00B43C78"/>
    <w:rsid w:val="00BC4B51"/>
    <w:rsid w:val="00BD2A51"/>
    <w:rsid w:val="00BE0FAF"/>
    <w:rsid w:val="00C03BA2"/>
    <w:rsid w:val="00C23C00"/>
    <w:rsid w:val="00C47A91"/>
    <w:rsid w:val="00C54CC0"/>
    <w:rsid w:val="00C7263A"/>
    <w:rsid w:val="00CA6319"/>
    <w:rsid w:val="00CB20BC"/>
    <w:rsid w:val="00CC0A96"/>
    <w:rsid w:val="00CE5422"/>
    <w:rsid w:val="00CE5B30"/>
    <w:rsid w:val="00D02BCD"/>
    <w:rsid w:val="00D378FE"/>
    <w:rsid w:val="00D46996"/>
    <w:rsid w:val="00D65034"/>
    <w:rsid w:val="00D67BEA"/>
    <w:rsid w:val="00D67C68"/>
    <w:rsid w:val="00D936E7"/>
    <w:rsid w:val="00D953BC"/>
    <w:rsid w:val="00DA31AE"/>
    <w:rsid w:val="00DA65B2"/>
    <w:rsid w:val="00DB715A"/>
    <w:rsid w:val="00DB71F3"/>
    <w:rsid w:val="00DB7CD1"/>
    <w:rsid w:val="00DC64F1"/>
    <w:rsid w:val="00E06939"/>
    <w:rsid w:val="00E074C7"/>
    <w:rsid w:val="00E10A3E"/>
    <w:rsid w:val="00EC4088"/>
    <w:rsid w:val="00EC5C26"/>
    <w:rsid w:val="00ED7335"/>
    <w:rsid w:val="00EF2715"/>
    <w:rsid w:val="00EF5824"/>
    <w:rsid w:val="00F4172E"/>
    <w:rsid w:val="00F67D9E"/>
    <w:rsid w:val="00F747F7"/>
    <w:rsid w:val="00FB5836"/>
    <w:rsid w:val="00FD0AE6"/>
    <w:rsid w:val="00FE4CA8"/>
    <w:rsid w:val="00FE4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1.5pt"/>
    </o:shapedefaults>
    <o:shapelayout v:ext="edit">
      <o:idmap v:ext="edit" data="2"/>
    </o:shapelayout>
  </w:shapeDefaults>
  <w:decimalSymbol w:val="."/>
  <w:listSeparator w:val=","/>
  <w14:docId w14:val="40BA82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5836"/>
    <w:rPr>
      <w:rFonts w:ascii="Arial" w:hAnsi="Arial"/>
    </w:rPr>
  </w:style>
  <w:style w:type="paragraph" w:styleId="Heading1">
    <w:name w:val="heading 1"/>
    <w:basedOn w:val="Normal"/>
    <w:next w:val="Normal"/>
    <w:qFormat/>
    <w:rsid w:val="00EC4088"/>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EC4088"/>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EC4088"/>
    <w:pPr>
      <w:tabs>
        <w:tab w:val="clear" w:pos="3226"/>
        <w:tab w:val="left" w:pos="3222"/>
      </w:tabs>
      <w:ind w:left="3222" w:right="-18"/>
      <w:outlineLvl w:val="2"/>
    </w:pPr>
    <w:rPr>
      <w:b w:val="0"/>
    </w:rPr>
  </w:style>
  <w:style w:type="paragraph" w:styleId="Heading4">
    <w:name w:val="heading 4"/>
    <w:basedOn w:val="Normal"/>
    <w:next w:val="Normal"/>
    <w:qFormat/>
    <w:rsid w:val="00EC4088"/>
    <w:pPr>
      <w:keepNext/>
      <w:spacing w:before="800"/>
      <w:jc w:val="center"/>
      <w:outlineLvl w:val="3"/>
    </w:pPr>
    <w:rPr>
      <w:b/>
      <w:sz w:val="12"/>
    </w:rPr>
  </w:style>
  <w:style w:type="paragraph" w:styleId="Heading5">
    <w:name w:val="heading 5"/>
    <w:basedOn w:val="Normal"/>
    <w:next w:val="Normal"/>
    <w:qFormat/>
    <w:rsid w:val="00EC4088"/>
    <w:pPr>
      <w:keepNext/>
      <w:widowControl w:val="0"/>
      <w:jc w:val="center"/>
      <w:outlineLvl w:val="4"/>
    </w:pPr>
    <w:rPr>
      <w:b/>
      <w:sz w:val="24"/>
    </w:rPr>
  </w:style>
  <w:style w:type="paragraph" w:styleId="Heading6">
    <w:name w:val="heading 6"/>
    <w:basedOn w:val="Normal"/>
    <w:next w:val="Normal"/>
    <w:qFormat/>
    <w:rsid w:val="00EC4088"/>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EC4088"/>
    <w:pPr>
      <w:keepNext/>
      <w:outlineLvl w:val="6"/>
    </w:pPr>
    <w:rPr>
      <w:rFonts w:ascii="Times New Roman" w:hAnsi="Times New Roman"/>
      <w:b/>
      <w:sz w:val="22"/>
    </w:rPr>
  </w:style>
  <w:style w:type="paragraph" w:styleId="Heading8">
    <w:name w:val="heading 8"/>
    <w:basedOn w:val="Normal"/>
    <w:next w:val="Normal"/>
    <w:link w:val="Heading8Char"/>
    <w:qFormat/>
    <w:rsid w:val="00EC4088"/>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EC4088"/>
    <w:pPr>
      <w:spacing w:before="240" w:after="60"/>
      <w:outlineLvl w:val="8"/>
    </w:pPr>
    <w:rPr>
      <w:rFonts w:cs="Arial"/>
      <w:sz w:val="22"/>
      <w:szCs w:val="22"/>
    </w:rPr>
  </w:style>
  <w:style w:type="character" w:default="1" w:styleId="DefaultParagraphFont">
    <w:name w:val="Default Paragraph Font"/>
    <w:semiHidden/>
    <w:rsid w:val="00EC408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EC4088"/>
  </w:style>
  <w:style w:type="paragraph" w:customStyle="1" w:styleId="Note">
    <w:name w:val="Note"/>
    <w:basedOn w:val="ctext"/>
    <w:rsid w:val="00EC4088"/>
    <w:pPr>
      <w:tabs>
        <w:tab w:val="left" w:pos="1710"/>
      </w:tabs>
      <w:ind w:left="1710" w:hanging="810"/>
    </w:pPr>
    <w:rPr>
      <w:rFonts w:eastAsia="MS Mincho"/>
      <w:b/>
      <w:bCs/>
    </w:rPr>
  </w:style>
  <w:style w:type="paragraph" w:styleId="TOC4">
    <w:name w:val="toc 4"/>
    <w:basedOn w:val="Normal"/>
    <w:next w:val="Normal"/>
    <w:autoRedefine/>
    <w:semiHidden/>
    <w:rsid w:val="00EC4088"/>
    <w:pPr>
      <w:ind w:left="600"/>
    </w:pPr>
  </w:style>
  <w:style w:type="paragraph" w:customStyle="1" w:styleId="chead2">
    <w:name w:val="chead2"/>
    <w:rsid w:val="00D02BCD"/>
    <w:pPr>
      <w:tabs>
        <w:tab w:val="left" w:pos="1440"/>
      </w:tabs>
      <w:spacing w:before="240" w:after="60"/>
      <w:ind w:left="1440" w:hanging="1440"/>
      <w:outlineLvl w:val="0"/>
    </w:pPr>
    <w:rPr>
      <w:rFonts w:ascii="Arial" w:hAnsi="Arial"/>
      <w:b/>
      <w:color w:val="1D73D6"/>
    </w:rPr>
  </w:style>
  <w:style w:type="paragraph" w:customStyle="1" w:styleId="cTOCHead">
    <w:name w:val="cTOCHead"/>
    <w:basedOn w:val="chead1"/>
    <w:rsid w:val="00EC4088"/>
  </w:style>
  <w:style w:type="paragraph" w:customStyle="1" w:styleId="chead1">
    <w:name w:val="chead1"/>
    <w:basedOn w:val="ctext"/>
    <w:rsid w:val="00EC4088"/>
    <w:pPr>
      <w:tabs>
        <w:tab w:val="left" w:pos="1440"/>
      </w:tabs>
      <w:spacing w:before="60"/>
      <w:ind w:left="1440" w:hanging="1440"/>
    </w:pPr>
    <w:rPr>
      <w:b/>
      <w:bCs/>
      <w:caps/>
      <w:color w:val="FFFFFF"/>
      <w:sz w:val="24"/>
    </w:rPr>
  </w:style>
  <w:style w:type="paragraph" w:customStyle="1" w:styleId="ctext">
    <w:name w:val="ctext"/>
    <w:basedOn w:val="Normal"/>
    <w:rsid w:val="00EC4088"/>
    <w:pPr>
      <w:spacing w:before="120" w:after="60"/>
      <w:ind w:left="360"/>
    </w:pPr>
    <w:rPr>
      <w:sz w:val="21"/>
    </w:rPr>
  </w:style>
  <w:style w:type="paragraph" w:customStyle="1" w:styleId="CLETTERED">
    <w:name w:val="CLETTERED"/>
    <w:basedOn w:val="Normal"/>
    <w:link w:val="CLETTEREDCharChar"/>
    <w:qFormat/>
    <w:rsid w:val="00EC4088"/>
    <w:pPr>
      <w:spacing w:before="100" w:after="100"/>
      <w:ind w:left="900" w:hanging="540"/>
    </w:pPr>
    <w:rPr>
      <w:rFonts w:eastAsia="MS Mincho"/>
      <w:sz w:val="21"/>
    </w:rPr>
  </w:style>
  <w:style w:type="paragraph" w:customStyle="1" w:styleId="cletteredindent">
    <w:name w:val="cletteredindent"/>
    <w:basedOn w:val="Normal"/>
    <w:rsid w:val="00EC4088"/>
    <w:pPr>
      <w:widowControl w:val="0"/>
      <w:spacing w:before="40" w:after="40" w:line="240" w:lineRule="atLeast"/>
      <w:ind w:left="1980" w:hanging="540"/>
    </w:pPr>
    <w:rPr>
      <w:sz w:val="21"/>
    </w:rPr>
  </w:style>
  <w:style w:type="paragraph" w:customStyle="1" w:styleId="cnumbered">
    <w:name w:val="cnumbered"/>
    <w:basedOn w:val="Normal"/>
    <w:rsid w:val="00EC4088"/>
    <w:pPr>
      <w:spacing w:before="60" w:after="60"/>
      <w:ind w:left="1440" w:hanging="533"/>
    </w:pPr>
    <w:rPr>
      <w:rFonts w:eastAsia="MS Mincho"/>
      <w:sz w:val="21"/>
    </w:rPr>
  </w:style>
  <w:style w:type="paragraph" w:styleId="BalloonText">
    <w:name w:val="Balloon Text"/>
    <w:basedOn w:val="Normal"/>
    <w:link w:val="BalloonTextChar"/>
    <w:rsid w:val="00EC4088"/>
    <w:rPr>
      <w:rFonts w:ascii="Tahoma" w:hAnsi="Tahoma" w:cs="Tahoma"/>
      <w:sz w:val="16"/>
      <w:szCs w:val="16"/>
    </w:rPr>
  </w:style>
  <w:style w:type="character" w:customStyle="1" w:styleId="BalloonTextChar">
    <w:name w:val="Balloon Text Char"/>
    <w:link w:val="BalloonText"/>
    <w:rsid w:val="00EC4088"/>
    <w:rPr>
      <w:rFonts w:ascii="Tahoma" w:hAnsi="Tahoma" w:cs="Tahoma"/>
      <w:sz w:val="16"/>
      <w:szCs w:val="16"/>
    </w:rPr>
  </w:style>
  <w:style w:type="paragraph" w:customStyle="1" w:styleId="cDate1">
    <w:name w:val="cDate1"/>
    <w:basedOn w:val="Normal"/>
    <w:rsid w:val="00EC4088"/>
    <w:pPr>
      <w:spacing w:before="60" w:after="60"/>
      <w:jc w:val="right"/>
    </w:pPr>
    <w:rPr>
      <w:b/>
      <w:color w:val="FFFFFF"/>
    </w:rPr>
  </w:style>
  <w:style w:type="paragraph" w:customStyle="1" w:styleId="cDate2">
    <w:name w:val="cDate2"/>
    <w:rsid w:val="00D02BCD"/>
    <w:pPr>
      <w:spacing w:before="240" w:after="60"/>
      <w:jc w:val="right"/>
    </w:pPr>
    <w:rPr>
      <w:rFonts w:ascii="Arial" w:hAnsi="Arial"/>
      <w:b/>
      <w:color w:val="1D73D6"/>
      <w:sz w:val="18"/>
    </w:rPr>
  </w:style>
  <w:style w:type="paragraph" w:styleId="TOC1">
    <w:name w:val="toc 1"/>
    <w:basedOn w:val="Normal"/>
    <w:next w:val="Normal"/>
    <w:autoRedefine/>
    <w:uiPriority w:val="39"/>
    <w:rsid w:val="00D02BCD"/>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EC4088"/>
    <w:pPr>
      <w:shd w:val="clear" w:color="auto" w:fill="FFFFFF"/>
      <w:tabs>
        <w:tab w:val="left" w:pos="1440"/>
      </w:tabs>
      <w:ind w:left="1440" w:hanging="1080"/>
    </w:pPr>
    <w:rPr>
      <w:rFonts w:eastAsia="MS Mincho"/>
      <w:noProof/>
      <w:sz w:val="21"/>
    </w:rPr>
  </w:style>
  <w:style w:type="paragraph" w:styleId="TOC5">
    <w:name w:val="toc 5"/>
    <w:basedOn w:val="Normal"/>
    <w:next w:val="Normal"/>
    <w:autoRedefine/>
    <w:semiHidden/>
    <w:rsid w:val="00EC4088"/>
    <w:pPr>
      <w:ind w:left="800"/>
    </w:pPr>
  </w:style>
  <w:style w:type="character" w:styleId="Hyperlink">
    <w:name w:val="Hyperlink"/>
    <w:uiPriority w:val="99"/>
    <w:rsid w:val="00EC4088"/>
    <w:rPr>
      <w:rFonts w:ascii="Arial" w:hAnsi="Arial"/>
      <w:b/>
      <w:dstrike w:val="0"/>
      <w:color w:val="0000FF"/>
      <w:sz w:val="21"/>
      <w:u w:val="single"/>
      <w:vertAlign w:val="baseline"/>
    </w:rPr>
  </w:style>
  <w:style w:type="paragraph" w:customStyle="1" w:styleId="cTableText">
    <w:name w:val="cTableText"/>
    <w:rsid w:val="00EC4088"/>
    <w:pPr>
      <w:spacing w:before="60" w:after="60"/>
    </w:pPr>
    <w:rPr>
      <w:rFonts w:ascii="Arial" w:hAnsi="Arial"/>
      <w:sz w:val="21"/>
    </w:rPr>
  </w:style>
  <w:style w:type="character" w:styleId="FollowedHyperlink">
    <w:name w:val="FollowedHyperlink"/>
    <w:rsid w:val="00EC4088"/>
    <w:rPr>
      <w:rFonts w:ascii="Arial" w:hAnsi="Arial"/>
      <w:b/>
      <w:dstrike w:val="0"/>
      <w:color w:val="800080"/>
      <w:sz w:val="21"/>
      <w:u w:val="single"/>
      <w:vertAlign w:val="baseline"/>
    </w:rPr>
  </w:style>
  <w:style w:type="paragraph" w:styleId="TOC3">
    <w:name w:val="toc 3"/>
    <w:basedOn w:val="Normal"/>
    <w:next w:val="Normal"/>
    <w:autoRedefine/>
    <w:semiHidden/>
    <w:rsid w:val="00EC4088"/>
    <w:pPr>
      <w:ind w:left="400"/>
    </w:pPr>
  </w:style>
  <w:style w:type="paragraph" w:customStyle="1" w:styleId="ctableheading">
    <w:name w:val="ctableheading"/>
    <w:basedOn w:val="cTableText"/>
    <w:rsid w:val="00EC4088"/>
    <w:rPr>
      <w:b/>
      <w:bCs/>
      <w:color w:val="000000"/>
    </w:rPr>
  </w:style>
  <w:style w:type="paragraph" w:styleId="Header">
    <w:name w:val="header"/>
    <w:aliases w:val="PM HEADER"/>
    <w:basedOn w:val="Normal"/>
    <w:rsid w:val="00EC4088"/>
    <w:pPr>
      <w:pBdr>
        <w:bottom w:val="single" w:sz="4" w:space="1" w:color="000000"/>
      </w:pBdr>
      <w:tabs>
        <w:tab w:val="right" w:pos="9720"/>
      </w:tabs>
      <w:ind w:left="-360" w:right="-360"/>
    </w:pPr>
    <w:rPr>
      <w:b/>
      <w:snapToGrid w:val="0"/>
      <w:sz w:val="18"/>
    </w:rPr>
  </w:style>
  <w:style w:type="paragraph" w:styleId="Footer">
    <w:name w:val="footer"/>
    <w:basedOn w:val="Normal"/>
    <w:rsid w:val="00EC4088"/>
    <w:pPr>
      <w:pBdr>
        <w:top w:val="single" w:sz="4" w:space="1" w:color="000000"/>
      </w:pBdr>
      <w:tabs>
        <w:tab w:val="right" w:pos="9720"/>
      </w:tabs>
      <w:ind w:left="-360" w:right="-360"/>
    </w:pPr>
    <w:rPr>
      <w:b/>
      <w:bCs/>
      <w:noProof/>
      <w:snapToGrid w:val="0"/>
      <w:sz w:val="18"/>
    </w:rPr>
  </w:style>
  <w:style w:type="paragraph" w:styleId="TOC6">
    <w:name w:val="toc 6"/>
    <w:basedOn w:val="Normal"/>
    <w:next w:val="Normal"/>
    <w:autoRedefine/>
    <w:semiHidden/>
    <w:rsid w:val="00EC4088"/>
    <w:pPr>
      <w:ind w:left="1000"/>
    </w:pPr>
  </w:style>
  <w:style w:type="paragraph" w:customStyle="1" w:styleId="ctablespace">
    <w:name w:val="ctablespace"/>
    <w:basedOn w:val="ctext"/>
    <w:rsid w:val="00EC4088"/>
    <w:pPr>
      <w:spacing w:before="0" w:after="0"/>
    </w:pPr>
  </w:style>
  <w:style w:type="paragraph" w:styleId="TOC7">
    <w:name w:val="toc 7"/>
    <w:basedOn w:val="Normal"/>
    <w:next w:val="Normal"/>
    <w:autoRedefine/>
    <w:semiHidden/>
    <w:rsid w:val="00EC4088"/>
    <w:pPr>
      <w:ind w:left="1200"/>
    </w:pPr>
  </w:style>
  <w:style w:type="paragraph" w:styleId="TOC8">
    <w:name w:val="toc 8"/>
    <w:basedOn w:val="Normal"/>
    <w:next w:val="Normal"/>
    <w:autoRedefine/>
    <w:semiHidden/>
    <w:rsid w:val="00EC4088"/>
    <w:pPr>
      <w:ind w:left="1400"/>
    </w:pPr>
  </w:style>
  <w:style w:type="paragraph" w:styleId="TOC9">
    <w:name w:val="toc 9"/>
    <w:basedOn w:val="Normal"/>
    <w:next w:val="Normal"/>
    <w:autoRedefine/>
    <w:semiHidden/>
    <w:rsid w:val="00EC4088"/>
    <w:pPr>
      <w:ind w:left="1600"/>
    </w:pPr>
  </w:style>
  <w:style w:type="paragraph" w:styleId="BlockText">
    <w:name w:val="Block Text"/>
    <w:basedOn w:val="Normal"/>
    <w:rsid w:val="00EC4088"/>
    <w:pPr>
      <w:spacing w:after="120"/>
      <w:ind w:left="1440" w:right="1440"/>
    </w:pPr>
  </w:style>
  <w:style w:type="paragraph" w:styleId="BodyText">
    <w:name w:val="Body Text"/>
    <w:basedOn w:val="Normal"/>
    <w:link w:val="BodyTextChar"/>
    <w:rsid w:val="00EC4088"/>
    <w:pPr>
      <w:spacing w:after="120"/>
    </w:pPr>
  </w:style>
  <w:style w:type="character" w:customStyle="1" w:styleId="BodyTextChar">
    <w:name w:val="Body Text Char"/>
    <w:link w:val="BodyText"/>
    <w:rsid w:val="00EC4088"/>
    <w:rPr>
      <w:rFonts w:ascii="Arial" w:hAnsi="Arial"/>
    </w:rPr>
  </w:style>
  <w:style w:type="paragraph" w:styleId="BodyText2">
    <w:name w:val="Body Text 2"/>
    <w:basedOn w:val="Normal"/>
    <w:link w:val="BodyText2Char"/>
    <w:rsid w:val="00EC4088"/>
    <w:pPr>
      <w:spacing w:after="120" w:line="480" w:lineRule="auto"/>
    </w:pPr>
  </w:style>
  <w:style w:type="character" w:customStyle="1" w:styleId="BodyText2Char">
    <w:name w:val="Body Text 2 Char"/>
    <w:link w:val="BodyText2"/>
    <w:rsid w:val="00EC4088"/>
    <w:rPr>
      <w:rFonts w:ascii="Arial" w:hAnsi="Arial"/>
    </w:rPr>
  </w:style>
  <w:style w:type="paragraph" w:styleId="BodyText3">
    <w:name w:val="Body Text 3"/>
    <w:basedOn w:val="Normal"/>
    <w:link w:val="BodyText3Char"/>
    <w:rsid w:val="00EC4088"/>
    <w:pPr>
      <w:spacing w:after="120"/>
    </w:pPr>
    <w:rPr>
      <w:sz w:val="16"/>
      <w:szCs w:val="16"/>
    </w:rPr>
  </w:style>
  <w:style w:type="character" w:customStyle="1" w:styleId="BodyText3Char">
    <w:name w:val="Body Text 3 Char"/>
    <w:link w:val="BodyText3"/>
    <w:rsid w:val="00EC4088"/>
    <w:rPr>
      <w:rFonts w:ascii="Arial" w:hAnsi="Arial"/>
      <w:sz w:val="16"/>
      <w:szCs w:val="16"/>
    </w:rPr>
  </w:style>
  <w:style w:type="paragraph" w:styleId="BodyTextFirstIndent">
    <w:name w:val="Body Text First Indent"/>
    <w:basedOn w:val="BodyText"/>
    <w:link w:val="BodyTextFirstIndentChar"/>
    <w:rsid w:val="00EC4088"/>
    <w:pPr>
      <w:ind w:firstLine="210"/>
    </w:pPr>
  </w:style>
  <w:style w:type="character" w:customStyle="1" w:styleId="BodyTextFirstIndentChar">
    <w:name w:val="Body Text First Indent Char"/>
    <w:basedOn w:val="BodyTextChar"/>
    <w:link w:val="BodyTextFirstIndent"/>
    <w:rsid w:val="00EC4088"/>
    <w:rPr>
      <w:rFonts w:ascii="Arial" w:hAnsi="Arial"/>
    </w:rPr>
  </w:style>
  <w:style w:type="paragraph" w:styleId="BodyTextIndent">
    <w:name w:val="Body Text Indent"/>
    <w:basedOn w:val="Normal"/>
    <w:link w:val="BodyTextIndentChar"/>
    <w:rsid w:val="00EC4088"/>
    <w:pPr>
      <w:spacing w:after="120"/>
      <w:ind w:left="360"/>
    </w:pPr>
  </w:style>
  <w:style w:type="character" w:customStyle="1" w:styleId="BodyTextIndentChar">
    <w:name w:val="Body Text Indent Char"/>
    <w:link w:val="BodyTextIndent"/>
    <w:rsid w:val="00EC4088"/>
    <w:rPr>
      <w:rFonts w:ascii="Arial" w:hAnsi="Arial"/>
    </w:rPr>
  </w:style>
  <w:style w:type="paragraph" w:styleId="BodyTextFirstIndent2">
    <w:name w:val="Body Text First Indent 2"/>
    <w:basedOn w:val="BodyTextIndent"/>
    <w:link w:val="BodyTextFirstIndent2Char"/>
    <w:rsid w:val="00EC4088"/>
    <w:pPr>
      <w:ind w:firstLine="210"/>
    </w:pPr>
  </w:style>
  <w:style w:type="character" w:customStyle="1" w:styleId="BodyTextFirstIndent2Char">
    <w:name w:val="Body Text First Indent 2 Char"/>
    <w:basedOn w:val="BodyTextIndentChar"/>
    <w:link w:val="BodyTextFirstIndent2"/>
    <w:rsid w:val="00EC4088"/>
    <w:rPr>
      <w:rFonts w:ascii="Arial" w:hAnsi="Arial"/>
    </w:rPr>
  </w:style>
  <w:style w:type="paragraph" w:styleId="BodyTextIndent2">
    <w:name w:val="Body Text Indent 2"/>
    <w:basedOn w:val="Normal"/>
    <w:link w:val="BodyTextIndent2Char"/>
    <w:rsid w:val="00EC4088"/>
    <w:pPr>
      <w:spacing w:after="120" w:line="480" w:lineRule="auto"/>
      <w:ind w:left="360"/>
    </w:pPr>
  </w:style>
  <w:style w:type="character" w:customStyle="1" w:styleId="BodyTextIndent2Char">
    <w:name w:val="Body Text Indent 2 Char"/>
    <w:link w:val="BodyTextIndent2"/>
    <w:rsid w:val="00EC4088"/>
    <w:rPr>
      <w:rFonts w:ascii="Arial" w:hAnsi="Arial"/>
    </w:rPr>
  </w:style>
  <w:style w:type="paragraph" w:styleId="BodyTextIndent3">
    <w:name w:val="Body Text Indent 3"/>
    <w:basedOn w:val="Normal"/>
    <w:link w:val="BodyTextIndent3Char"/>
    <w:rsid w:val="00EC4088"/>
    <w:pPr>
      <w:spacing w:after="120"/>
      <w:ind w:left="360"/>
    </w:pPr>
    <w:rPr>
      <w:sz w:val="16"/>
      <w:szCs w:val="16"/>
    </w:rPr>
  </w:style>
  <w:style w:type="character" w:customStyle="1" w:styleId="BodyTextIndent3Char">
    <w:name w:val="Body Text Indent 3 Char"/>
    <w:link w:val="BodyTextIndent3"/>
    <w:rsid w:val="00EC4088"/>
    <w:rPr>
      <w:rFonts w:ascii="Arial" w:hAnsi="Arial"/>
      <w:sz w:val="16"/>
      <w:szCs w:val="16"/>
    </w:rPr>
  </w:style>
  <w:style w:type="paragraph" w:customStyle="1" w:styleId="cAddress">
    <w:name w:val="cAddress"/>
    <w:basedOn w:val="ctext"/>
    <w:rsid w:val="00EC4088"/>
    <w:pPr>
      <w:ind w:left="2160"/>
    </w:pPr>
  </w:style>
  <w:style w:type="paragraph" w:styleId="Caption">
    <w:name w:val="caption"/>
    <w:basedOn w:val="Normal"/>
    <w:next w:val="Normal"/>
    <w:qFormat/>
    <w:rsid w:val="00EC4088"/>
    <w:rPr>
      <w:b/>
      <w:bCs/>
    </w:rPr>
  </w:style>
  <w:style w:type="paragraph" w:styleId="Closing">
    <w:name w:val="Closing"/>
    <w:basedOn w:val="Normal"/>
    <w:link w:val="ClosingChar"/>
    <w:rsid w:val="00EC4088"/>
    <w:pPr>
      <w:ind w:left="4320"/>
    </w:pPr>
  </w:style>
  <w:style w:type="character" w:customStyle="1" w:styleId="ClosingChar">
    <w:name w:val="Closing Char"/>
    <w:link w:val="Closing"/>
    <w:rsid w:val="00EC4088"/>
    <w:rPr>
      <w:rFonts w:ascii="Arial" w:hAnsi="Arial"/>
    </w:rPr>
  </w:style>
  <w:style w:type="paragraph" w:styleId="CommentText">
    <w:name w:val="annotation text"/>
    <w:basedOn w:val="Normal"/>
    <w:link w:val="CommentTextChar"/>
    <w:rsid w:val="00EC4088"/>
  </w:style>
  <w:style w:type="character" w:customStyle="1" w:styleId="CommentTextChar">
    <w:name w:val="Comment Text Char"/>
    <w:link w:val="CommentText"/>
    <w:rsid w:val="00EC4088"/>
    <w:rPr>
      <w:rFonts w:ascii="Arial" w:hAnsi="Arial"/>
    </w:rPr>
  </w:style>
  <w:style w:type="paragraph" w:styleId="CommentSubject">
    <w:name w:val="annotation subject"/>
    <w:basedOn w:val="CommentText"/>
    <w:next w:val="CommentText"/>
    <w:link w:val="CommentSubjectChar"/>
    <w:rsid w:val="00EC4088"/>
    <w:rPr>
      <w:b/>
      <w:bCs/>
    </w:rPr>
  </w:style>
  <w:style w:type="character" w:customStyle="1" w:styleId="CommentSubjectChar">
    <w:name w:val="Comment Subject Char"/>
    <w:link w:val="CommentSubject"/>
    <w:rsid w:val="00EC4088"/>
    <w:rPr>
      <w:rFonts w:ascii="Arial" w:hAnsi="Arial"/>
      <w:b/>
      <w:bCs/>
    </w:rPr>
  </w:style>
  <w:style w:type="paragraph" w:styleId="Date">
    <w:name w:val="Date"/>
    <w:basedOn w:val="Normal"/>
    <w:next w:val="Normal"/>
    <w:link w:val="DateChar"/>
    <w:rsid w:val="00EC4088"/>
  </w:style>
  <w:style w:type="character" w:customStyle="1" w:styleId="DateChar">
    <w:name w:val="Date Char"/>
    <w:link w:val="Date"/>
    <w:rsid w:val="00EC4088"/>
    <w:rPr>
      <w:rFonts w:ascii="Arial" w:hAnsi="Arial"/>
    </w:rPr>
  </w:style>
  <w:style w:type="paragraph" w:styleId="DocumentMap">
    <w:name w:val="Document Map"/>
    <w:basedOn w:val="Normal"/>
    <w:link w:val="DocumentMapChar"/>
    <w:rsid w:val="00EC4088"/>
    <w:pPr>
      <w:shd w:val="clear" w:color="auto" w:fill="000080"/>
    </w:pPr>
    <w:rPr>
      <w:rFonts w:ascii="Tahoma" w:hAnsi="Tahoma" w:cs="Tahoma"/>
    </w:rPr>
  </w:style>
  <w:style w:type="character" w:customStyle="1" w:styleId="DocumentMapChar">
    <w:name w:val="Document Map Char"/>
    <w:link w:val="DocumentMap"/>
    <w:rsid w:val="00EC4088"/>
    <w:rPr>
      <w:rFonts w:ascii="Tahoma" w:hAnsi="Tahoma" w:cs="Tahoma"/>
      <w:shd w:val="clear" w:color="auto" w:fill="000080"/>
    </w:rPr>
  </w:style>
  <w:style w:type="paragraph" w:styleId="E-mailSignature">
    <w:name w:val="E-mail Signature"/>
    <w:basedOn w:val="Normal"/>
    <w:link w:val="E-mailSignatureChar"/>
    <w:rsid w:val="00EC4088"/>
  </w:style>
  <w:style w:type="character" w:customStyle="1" w:styleId="E-mailSignatureChar">
    <w:name w:val="E-mail Signature Char"/>
    <w:link w:val="E-mailSignature"/>
    <w:rsid w:val="00EC4088"/>
    <w:rPr>
      <w:rFonts w:ascii="Arial" w:hAnsi="Arial"/>
    </w:rPr>
  </w:style>
  <w:style w:type="paragraph" w:styleId="EndnoteText">
    <w:name w:val="endnote text"/>
    <w:basedOn w:val="Normal"/>
    <w:link w:val="EndnoteTextChar"/>
    <w:rsid w:val="00EC4088"/>
  </w:style>
  <w:style w:type="character" w:customStyle="1" w:styleId="EndnoteTextChar">
    <w:name w:val="Endnote Text Char"/>
    <w:link w:val="EndnoteText"/>
    <w:rsid w:val="00EC4088"/>
    <w:rPr>
      <w:rFonts w:ascii="Arial" w:hAnsi="Arial"/>
    </w:rPr>
  </w:style>
  <w:style w:type="paragraph" w:styleId="EnvelopeAddress">
    <w:name w:val="envelope address"/>
    <w:basedOn w:val="Normal"/>
    <w:rsid w:val="00EC4088"/>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EC4088"/>
    <w:rPr>
      <w:rFonts w:cs="Arial"/>
    </w:rPr>
  </w:style>
  <w:style w:type="paragraph" w:customStyle="1" w:styleId="ExUpdates">
    <w:name w:val="ExUpdates"/>
    <w:basedOn w:val="Normal"/>
    <w:rsid w:val="00EC4088"/>
    <w:pPr>
      <w:spacing w:before="60" w:after="60"/>
    </w:pPr>
    <w:rPr>
      <w:sz w:val="21"/>
    </w:rPr>
  </w:style>
  <w:style w:type="paragraph" w:styleId="FootnoteText">
    <w:name w:val="footnote text"/>
    <w:basedOn w:val="Normal"/>
    <w:link w:val="FootnoteTextChar"/>
    <w:rsid w:val="00EC4088"/>
  </w:style>
  <w:style w:type="character" w:customStyle="1" w:styleId="FootnoteTextChar">
    <w:name w:val="Footnote Text Char"/>
    <w:link w:val="FootnoteText"/>
    <w:rsid w:val="00EC4088"/>
    <w:rPr>
      <w:rFonts w:ascii="Arial" w:hAnsi="Arial"/>
    </w:rPr>
  </w:style>
  <w:style w:type="character" w:customStyle="1" w:styleId="Heading8Char">
    <w:name w:val="Heading 8 Char"/>
    <w:link w:val="Heading8"/>
    <w:rsid w:val="00EC4088"/>
    <w:rPr>
      <w:i/>
      <w:iCs/>
      <w:sz w:val="24"/>
      <w:szCs w:val="24"/>
    </w:rPr>
  </w:style>
  <w:style w:type="character" w:customStyle="1" w:styleId="Heading9Char">
    <w:name w:val="Heading 9 Char"/>
    <w:link w:val="Heading9"/>
    <w:rsid w:val="00EC4088"/>
    <w:rPr>
      <w:rFonts w:ascii="Arial" w:hAnsi="Arial" w:cs="Arial"/>
      <w:sz w:val="22"/>
      <w:szCs w:val="22"/>
    </w:rPr>
  </w:style>
  <w:style w:type="paragraph" w:styleId="HTMLAddress">
    <w:name w:val="HTML Address"/>
    <w:basedOn w:val="Normal"/>
    <w:link w:val="HTMLAddressChar"/>
    <w:rsid w:val="00EC4088"/>
    <w:rPr>
      <w:i/>
      <w:iCs/>
    </w:rPr>
  </w:style>
  <w:style w:type="character" w:customStyle="1" w:styleId="HTMLAddressChar">
    <w:name w:val="HTML Address Char"/>
    <w:link w:val="HTMLAddress"/>
    <w:rsid w:val="00EC4088"/>
    <w:rPr>
      <w:rFonts w:ascii="Arial" w:hAnsi="Arial"/>
      <w:i/>
      <w:iCs/>
    </w:rPr>
  </w:style>
  <w:style w:type="paragraph" w:styleId="HTMLPreformatted">
    <w:name w:val="HTML Preformatted"/>
    <w:basedOn w:val="Normal"/>
    <w:link w:val="HTMLPreformattedChar"/>
    <w:rsid w:val="00EC4088"/>
    <w:rPr>
      <w:rFonts w:ascii="Courier New" w:hAnsi="Courier New" w:cs="Courier New"/>
    </w:rPr>
  </w:style>
  <w:style w:type="character" w:customStyle="1" w:styleId="HTMLPreformattedChar">
    <w:name w:val="HTML Preformatted Char"/>
    <w:link w:val="HTMLPreformatted"/>
    <w:rsid w:val="00EC4088"/>
    <w:rPr>
      <w:rFonts w:ascii="Courier New" w:hAnsi="Courier New" w:cs="Courier New"/>
    </w:rPr>
  </w:style>
  <w:style w:type="paragraph" w:styleId="Index1">
    <w:name w:val="index 1"/>
    <w:basedOn w:val="Normal"/>
    <w:next w:val="Normal"/>
    <w:autoRedefine/>
    <w:rsid w:val="00EC4088"/>
    <w:pPr>
      <w:ind w:left="200" w:hanging="200"/>
    </w:pPr>
  </w:style>
  <w:style w:type="paragraph" w:styleId="Index2">
    <w:name w:val="index 2"/>
    <w:basedOn w:val="Normal"/>
    <w:next w:val="Normal"/>
    <w:autoRedefine/>
    <w:rsid w:val="00EC4088"/>
    <w:pPr>
      <w:ind w:left="400" w:hanging="200"/>
    </w:pPr>
  </w:style>
  <w:style w:type="paragraph" w:styleId="Index3">
    <w:name w:val="index 3"/>
    <w:basedOn w:val="Normal"/>
    <w:next w:val="Normal"/>
    <w:autoRedefine/>
    <w:rsid w:val="00EC4088"/>
    <w:pPr>
      <w:ind w:left="600" w:hanging="200"/>
    </w:pPr>
  </w:style>
  <w:style w:type="paragraph" w:styleId="Index4">
    <w:name w:val="index 4"/>
    <w:basedOn w:val="Normal"/>
    <w:next w:val="Normal"/>
    <w:autoRedefine/>
    <w:rsid w:val="00EC4088"/>
    <w:pPr>
      <w:ind w:left="800" w:hanging="200"/>
    </w:pPr>
  </w:style>
  <w:style w:type="paragraph" w:styleId="Index5">
    <w:name w:val="index 5"/>
    <w:basedOn w:val="Normal"/>
    <w:next w:val="Normal"/>
    <w:autoRedefine/>
    <w:rsid w:val="00EC4088"/>
    <w:pPr>
      <w:ind w:left="1000" w:hanging="200"/>
    </w:pPr>
  </w:style>
  <w:style w:type="paragraph" w:styleId="Index6">
    <w:name w:val="index 6"/>
    <w:basedOn w:val="Normal"/>
    <w:next w:val="Normal"/>
    <w:autoRedefine/>
    <w:rsid w:val="00EC4088"/>
    <w:pPr>
      <w:ind w:left="1200" w:hanging="200"/>
    </w:pPr>
  </w:style>
  <w:style w:type="paragraph" w:styleId="Index7">
    <w:name w:val="index 7"/>
    <w:basedOn w:val="Normal"/>
    <w:next w:val="Normal"/>
    <w:autoRedefine/>
    <w:rsid w:val="00EC4088"/>
    <w:pPr>
      <w:ind w:left="1400" w:hanging="200"/>
    </w:pPr>
  </w:style>
  <w:style w:type="paragraph" w:styleId="Index8">
    <w:name w:val="index 8"/>
    <w:basedOn w:val="Normal"/>
    <w:next w:val="Normal"/>
    <w:autoRedefine/>
    <w:rsid w:val="00EC4088"/>
    <w:pPr>
      <w:ind w:left="1600" w:hanging="200"/>
    </w:pPr>
  </w:style>
  <w:style w:type="paragraph" w:styleId="Index9">
    <w:name w:val="index 9"/>
    <w:basedOn w:val="Normal"/>
    <w:next w:val="Normal"/>
    <w:autoRedefine/>
    <w:rsid w:val="00EC4088"/>
    <w:pPr>
      <w:ind w:left="1800" w:hanging="200"/>
    </w:pPr>
  </w:style>
  <w:style w:type="paragraph" w:styleId="IndexHeading">
    <w:name w:val="index heading"/>
    <w:basedOn w:val="Normal"/>
    <w:next w:val="Index1"/>
    <w:rsid w:val="00EC4088"/>
    <w:rPr>
      <w:rFonts w:cs="Arial"/>
      <w:b/>
      <w:bCs/>
    </w:rPr>
  </w:style>
  <w:style w:type="paragraph" w:styleId="List">
    <w:name w:val="List"/>
    <w:basedOn w:val="Normal"/>
    <w:rsid w:val="00EC4088"/>
    <w:pPr>
      <w:ind w:left="360" w:hanging="360"/>
    </w:pPr>
  </w:style>
  <w:style w:type="paragraph" w:styleId="List2">
    <w:name w:val="List 2"/>
    <w:basedOn w:val="Normal"/>
    <w:rsid w:val="00EC4088"/>
    <w:pPr>
      <w:ind w:left="720" w:hanging="360"/>
    </w:pPr>
  </w:style>
  <w:style w:type="paragraph" w:styleId="List3">
    <w:name w:val="List 3"/>
    <w:basedOn w:val="Normal"/>
    <w:rsid w:val="00EC4088"/>
    <w:pPr>
      <w:ind w:left="1080" w:hanging="360"/>
    </w:pPr>
  </w:style>
  <w:style w:type="paragraph" w:styleId="List4">
    <w:name w:val="List 4"/>
    <w:basedOn w:val="Normal"/>
    <w:rsid w:val="00EC4088"/>
    <w:pPr>
      <w:ind w:left="1440" w:hanging="360"/>
    </w:pPr>
  </w:style>
  <w:style w:type="paragraph" w:styleId="List5">
    <w:name w:val="List 5"/>
    <w:basedOn w:val="Normal"/>
    <w:rsid w:val="00EC4088"/>
    <w:pPr>
      <w:ind w:left="1800" w:hanging="360"/>
    </w:pPr>
  </w:style>
  <w:style w:type="paragraph" w:styleId="ListBullet">
    <w:name w:val="List Bullet"/>
    <w:basedOn w:val="Normal"/>
    <w:rsid w:val="00EC4088"/>
    <w:pPr>
      <w:numPr>
        <w:numId w:val="1"/>
      </w:numPr>
    </w:pPr>
  </w:style>
  <w:style w:type="paragraph" w:styleId="ListBullet2">
    <w:name w:val="List Bullet 2"/>
    <w:basedOn w:val="Normal"/>
    <w:rsid w:val="00EC4088"/>
    <w:pPr>
      <w:numPr>
        <w:numId w:val="2"/>
      </w:numPr>
    </w:pPr>
  </w:style>
  <w:style w:type="paragraph" w:styleId="ListBullet3">
    <w:name w:val="List Bullet 3"/>
    <w:basedOn w:val="Normal"/>
    <w:rsid w:val="00EC4088"/>
    <w:pPr>
      <w:numPr>
        <w:numId w:val="3"/>
      </w:numPr>
    </w:pPr>
  </w:style>
  <w:style w:type="paragraph" w:styleId="ListBullet4">
    <w:name w:val="List Bullet 4"/>
    <w:basedOn w:val="Normal"/>
    <w:rsid w:val="00EC4088"/>
    <w:pPr>
      <w:numPr>
        <w:numId w:val="4"/>
      </w:numPr>
    </w:pPr>
  </w:style>
  <w:style w:type="paragraph" w:styleId="ListBullet5">
    <w:name w:val="List Bullet 5"/>
    <w:basedOn w:val="Normal"/>
    <w:rsid w:val="00EC4088"/>
    <w:pPr>
      <w:numPr>
        <w:numId w:val="5"/>
      </w:numPr>
    </w:pPr>
  </w:style>
  <w:style w:type="paragraph" w:styleId="ListContinue">
    <w:name w:val="List Continue"/>
    <w:basedOn w:val="Normal"/>
    <w:rsid w:val="00EC4088"/>
    <w:pPr>
      <w:spacing w:after="120"/>
      <w:ind w:left="360"/>
    </w:pPr>
  </w:style>
  <w:style w:type="paragraph" w:styleId="ListContinue2">
    <w:name w:val="List Continue 2"/>
    <w:basedOn w:val="Normal"/>
    <w:rsid w:val="00EC4088"/>
    <w:pPr>
      <w:spacing w:after="120"/>
      <w:ind w:left="720"/>
    </w:pPr>
  </w:style>
  <w:style w:type="paragraph" w:styleId="ListContinue3">
    <w:name w:val="List Continue 3"/>
    <w:basedOn w:val="Normal"/>
    <w:rsid w:val="00EC4088"/>
    <w:pPr>
      <w:spacing w:after="120"/>
      <w:ind w:left="1080"/>
    </w:pPr>
  </w:style>
  <w:style w:type="paragraph" w:styleId="ListContinue4">
    <w:name w:val="List Continue 4"/>
    <w:basedOn w:val="Normal"/>
    <w:rsid w:val="00EC4088"/>
    <w:pPr>
      <w:spacing w:after="120"/>
      <w:ind w:left="1440"/>
    </w:pPr>
  </w:style>
  <w:style w:type="paragraph" w:styleId="ListContinue5">
    <w:name w:val="List Continue 5"/>
    <w:basedOn w:val="Normal"/>
    <w:rsid w:val="00EC4088"/>
    <w:pPr>
      <w:spacing w:after="120"/>
      <w:ind w:left="1800"/>
    </w:pPr>
  </w:style>
  <w:style w:type="paragraph" w:styleId="ListNumber">
    <w:name w:val="List Number"/>
    <w:basedOn w:val="Normal"/>
    <w:rsid w:val="00EC4088"/>
    <w:pPr>
      <w:numPr>
        <w:numId w:val="6"/>
      </w:numPr>
    </w:pPr>
  </w:style>
  <w:style w:type="paragraph" w:styleId="ListNumber2">
    <w:name w:val="List Number 2"/>
    <w:basedOn w:val="Normal"/>
    <w:rsid w:val="00EC4088"/>
    <w:pPr>
      <w:numPr>
        <w:numId w:val="7"/>
      </w:numPr>
    </w:pPr>
  </w:style>
  <w:style w:type="paragraph" w:styleId="ListNumber3">
    <w:name w:val="List Number 3"/>
    <w:basedOn w:val="Normal"/>
    <w:rsid w:val="00EC4088"/>
    <w:pPr>
      <w:numPr>
        <w:numId w:val="8"/>
      </w:numPr>
    </w:pPr>
  </w:style>
  <w:style w:type="paragraph" w:styleId="ListNumber4">
    <w:name w:val="List Number 4"/>
    <w:basedOn w:val="Normal"/>
    <w:rsid w:val="00EC4088"/>
    <w:pPr>
      <w:numPr>
        <w:numId w:val="9"/>
      </w:numPr>
    </w:pPr>
  </w:style>
  <w:style w:type="paragraph" w:styleId="ListNumber5">
    <w:name w:val="List Number 5"/>
    <w:basedOn w:val="Normal"/>
    <w:rsid w:val="00EC4088"/>
    <w:pPr>
      <w:numPr>
        <w:numId w:val="10"/>
      </w:numPr>
    </w:pPr>
  </w:style>
  <w:style w:type="paragraph" w:styleId="MacroText">
    <w:name w:val="macro"/>
    <w:link w:val="MacroTextChar"/>
    <w:rsid w:val="00EC408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EC4088"/>
    <w:rPr>
      <w:rFonts w:ascii="Courier New" w:hAnsi="Courier New" w:cs="Courier New"/>
      <w:lang w:val="en-US" w:eastAsia="en-US" w:bidi="ar-SA"/>
    </w:rPr>
  </w:style>
  <w:style w:type="paragraph" w:styleId="MessageHeader">
    <w:name w:val="Message Header"/>
    <w:basedOn w:val="Normal"/>
    <w:link w:val="MessageHeaderChar"/>
    <w:rsid w:val="00EC408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character" w:customStyle="1" w:styleId="MessageHeaderChar">
    <w:name w:val="Message Header Char"/>
    <w:link w:val="MessageHeader"/>
    <w:rsid w:val="00EC4088"/>
    <w:rPr>
      <w:rFonts w:ascii="Arial" w:hAnsi="Arial" w:cs="Arial"/>
      <w:sz w:val="24"/>
      <w:szCs w:val="24"/>
      <w:shd w:val="pct20" w:color="auto" w:fill="auto"/>
    </w:rPr>
  </w:style>
  <w:style w:type="paragraph" w:styleId="NormalWeb">
    <w:name w:val="Normal (Web)"/>
    <w:basedOn w:val="Normal"/>
    <w:rsid w:val="00EC4088"/>
    <w:rPr>
      <w:rFonts w:ascii="Times New Roman" w:hAnsi="Times New Roman"/>
      <w:sz w:val="24"/>
      <w:szCs w:val="24"/>
    </w:rPr>
  </w:style>
  <w:style w:type="paragraph" w:styleId="NormalIndent">
    <w:name w:val="Normal Indent"/>
    <w:basedOn w:val="Normal"/>
    <w:rsid w:val="00EC4088"/>
    <w:pPr>
      <w:ind w:left="720"/>
    </w:pPr>
  </w:style>
  <w:style w:type="paragraph" w:styleId="NoteHeading">
    <w:name w:val="Note Heading"/>
    <w:basedOn w:val="Normal"/>
    <w:next w:val="Normal"/>
    <w:link w:val="NoteHeadingChar"/>
    <w:rsid w:val="00EC4088"/>
  </w:style>
  <w:style w:type="character" w:customStyle="1" w:styleId="NoteHeadingChar">
    <w:name w:val="Note Heading Char"/>
    <w:link w:val="NoteHeading"/>
    <w:rsid w:val="00EC4088"/>
    <w:rPr>
      <w:rFonts w:ascii="Arial" w:hAnsi="Arial"/>
    </w:rPr>
  </w:style>
  <w:style w:type="paragraph" w:styleId="PlainText">
    <w:name w:val="Plain Text"/>
    <w:basedOn w:val="Normal"/>
    <w:link w:val="PlainTextChar"/>
    <w:rsid w:val="00EC4088"/>
    <w:rPr>
      <w:rFonts w:ascii="Courier New" w:hAnsi="Courier New" w:cs="Courier New"/>
    </w:rPr>
  </w:style>
  <w:style w:type="character" w:customStyle="1" w:styleId="PlainTextChar">
    <w:name w:val="Plain Text Char"/>
    <w:link w:val="PlainText"/>
    <w:rsid w:val="00EC4088"/>
    <w:rPr>
      <w:rFonts w:ascii="Courier New" w:hAnsi="Courier New" w:cs="Courier New"/>
    </w:rPr>
  </w:style>
  <w:style w:type="paragraph" w:styleId="Salutation">
    <w:name w:val="Salutation"/>
    <w:basedOn w:val="Normal"/>
    <w:next w:val="Normal"/>
    <w:link w:val="SalutationChar"/>
    <w:rsid w:val="00EC4088"/>
  </w:style>
  <w:style w:type="character" w:customStyle="1" w:styleId="SalutationChar">
    <w:name w:val="Salutation Char"/>
    <w:link w:val="Salutation"/>
    <w:rsid w:val="00EC4088"/>
    <w:rPr>
      <w:rFonts w:ascii="Arial" w:hAnsi="Arial"/>
    </w:rPr>
  </w:style>
  <w:style w:type="paragraph" w:styleId="Signature">
    <w:name w:val="Signature"/>
    <w:basedOn w:val="Normal"/>
    <w:link w:val="SignatureChar"/>
    <w:rsid w:val="00EC4088"/>
    <w:pPr>
      <w:ind w:left="4320"/>
    </w:pPr>
  </w:style>
  <w:style w:type="character" w:customStyle="1" w:styleId="SignatureChar">
    <w:name w:val="Signature Char"/>
    <w:link w:val="Signature"/>
    <w:rsid w:val="00EC4088"/>
    <w:rPr>
      <w:rFonts w:ascii="Arial" w:hAnsi="Arial"/>
    </w:rPr>
  </w:style>
  <w:style w:type="paragraph" w:styleId="Subtitle">
    <w:name w:val="Subtitle"/>
    <w:basedOn w:val="Normal"/>
    <w:link w:val="SubtitleChar"/>
    <w:qFormat/>
    <w:rsid w:val="00EC4088"/>
    <w:pPr>
      <w:spacing w:after="60"/>
      <w:jc w:val="center"/>
      <w:outlineLvl w:val="1"/>
    </w:pPr>
    <w:rPr>
      <w:rFonts w:cs="Arial"/>
      <w:sz w:val="24"/>
      <w:szCs w:val="24"/>
    </w:rPr>
  </w:style>
  <w:style w:type="character" w:customStyle="1" w:styleId="SubtitleChar">
    <w:name w:val="Subtitle Char"/>
    <w:link w:val="Subtitle"/>
    <w:rsid w:val="00EC4088"/>
    <w:rPr>
      <w:rFonts w:ascii="Arial" w:hAnsi="Arial" w:cs="Arial"/>
      <w:sz w:val="24"/>
      <w:szCs w:val="24"/>
    </w:rPr>
  </w:style>
  <w:style w:type="table" w:styleId="TableGrid">
    <w:name w:val="Table Grid"/>
    <w:basedOn w:val="TableNormal"/>
    <w:rsid w:val="00EC4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EC4088"/>
    <w:pPr>
      <w:ind w:left="200" w:hanging="200"/>
    </w:pPr>
  </w:style>
  <w:style w:type="paragraph" w:styleId="TableofFigures">
    <w:name w:val="table of figures"/>
    <w:basedOn w:val="Normal"/>
    <w:next w:val="Normal"/>
    <w:rsid w:val="00EC4088"/>
  </w:style>
  <w:style w:type="paragraph" w:styleId="Title">
    <w:name w:val="Title"/>
    <w:basedOn w:val="Normal"/>
    <w:link w:val="TitleChar"/>
    <w:qFormat/>
    <w:rsid w:val="00EC4088"/>
    <w:pPr>
      <w:spacing w:before="240" w:after="60"/>
      <w:jc w:val="center"/>
      <w:outlineLvl w:val="0"/>
    </w:pPr>
    <w:rPr>
      <w:rFonts w:cs="Arial"/>
      <w:b/>
      <w:bCs/>
      <w:kern w:val="28"/>
      <w:sz w:val="32"/>
      <w:szCs w:val="32"/>
    </w:rPr>
  </w:style>
  <w:style w:type="character" w:customStyle="1" w:styleId="TitleChar">
    <w:name w:val="Title Char"/>
    <w:link w:val="Title"/>
    <w:rsid w:val="00EC4088"/>
    <w:rPr>
      <w:rFonts w:ascii="Arial" w:hAnsi="Arial" w:cs="Arial"/>
      <w:b/>
      <w:bCs/>
      <w:kern w:val="28"/>
      <w:sz w:val="32"/>
      <w:szCs w:val="32"/>
    </w:rPr>
  </w:style>
  <w:style w:type="paragraph" w:styleId="TOAHeading">
    <w:name w:val="toa heading"/>
    <w:basedOn w:val="Normal"/>
    <w:next w:val="Normal"/>
    <w:rsid w:val="00EC4088"/>
    <w:pPr>
      <w:spacing w:before="120"/>
    </w:pPr>
    <w:rPr>
      <w:rFonts w:cs="Arial"/>
      <w:b/>
      <w:bCs/>
      <w:sz w:val="24"/>
      <w:szCs w:val="24"/>
    </w:rPr>
  </w:style>
  <w:style w:type="paragraph" w:styleId="Revision">
    <w:name w:val="Revision"/>
    <w:hidden/>
    <w:uiPriority w:val="99"/>
    <w:semiHidden/>
    <w:rsid w:val="00027C3D"/>
    <w:rPr>
      <w:rFonts w:ascii="Arial" w:hAnsi="Arial"/>
    </w:rPr>
  </w:style>
  <w:style w:type="character" w:styleId="UnresolvedMention">
    <w:name w:val="Unresolved Mention"/>
    <w:uiPriority w:val="99"/>
    <w:semiHidden/>
    <w:unhideWhenUsed/>
    <w:rsid w:val="00543105"/>
    <w:rPr>
      <w:color w:val="605E5C"/>
      <w:shd w:val="clear" w:color="auto" w:fill="E1DFDD"/>
    </w:rPr>
  </w:style>
  <w:style w:type="character" w:customStyle="1" w:styleId="CLETTEREDCharChar">
    <w:name w:val="CLETTERED Char Char"/>
    <w:link w:val="CLETTERED"/>
    <w:rsid w:val="00C7263A"/>
    <w:rPr>
      <w:rFonts w:ascii="Arial" w:eastAsia="MS Mincho"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RKPCMH@gainwelltechnologies.com" TargetMode="External"/><Relationship Id="rId18" Type="http://schemas.openxmlformats.org/officeDocument/2006/relationships/hyperlink" Target="https://humanservices.arkansas.gov/divisions-shared-services/medical-services/helpful-information-for-providers/patient-centered-medical-hom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humanservices.arkansas.gov/divisions-shared-services/medical-services/helpful-information-for-providers/patient-centered-medical-home/" TargetMode="External"/><Relationship Id="rId7" Type="http://schemas.openxmlformats.org/officeDocument/2006/relationships/webSettings" Target="webSettings.xml"/><Relationship Id="rId12" Type="http://schemas.openxmlformats.org/officeDocument/2006/relationships/hyperlink" Target="mailto:ARKPCMH@gainwelltechnologies.com" TargetMode="External"/><Relationship Id="rId17" Type="http://schemas.openxmlformats.org/officeDocument/2006/relationships/hyperlink" Target="https://qci.mmis.arkansas.gov/apii/login" TargetMode="External"/><Relationship Id="rId25" Type="http://schemas.openxmlformats.org/officeDocument/2006/relationships/hyperlink" Target="mailto:ARKPCMH@gainwelltechnologies.com" TargetMode="Externa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hyperlink" Target="https://humanservices.arkansas.gov/divisions-shared-services/medical-services/helpful-information-for-providers/patient-centered-medical-hom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manservices.arkansas.gov/divisions-shared-services/medical-services/helpful-information-for-providers/patient-centered-medical-home/" TargetMode="External"/><Relationship Id="rId24" Type="http://schemas.openxmlformats.org/officeDocument/2006/relationships/hyperlink" Target="mailto:PCMH@AFMC.org" TargetMode="External"/><Relationship Id="rId5" Type="http://schemas.openxmlformats.org/officeDocument/2006/relationships/styles" Target="styles.xml"/><Relationship Id="rId15" Type="http://schemas.openxmlformats.org/officeDocument/2006/relationships/hyperlink" Target="mailto:ARKPCMH@gainwelltechnologies.com" TargetMode="External"/><Relationship Id="rId23" Type="http://schemas.openxmlformats.org/officeDocument/2006/relationships/hyperlink" Target="https://humanservices.arkansas.gov/divisions-shared-services/medical-services/helpful-information-for-providers/patient-centered-medical-home/" TargetMode="External"/><Relationship Id="rId28" Type="http://schemas.openxmlformats.org/officeDocument/2006/relationships/fontTable" Target="fontTable.xml"/><Relationship Id="rId10" Type="http://schemas.openxmlformats.org/officeDocument/2006/relationships/hyperlink" Target="http://SHAREArkansas.com" TargetMode="External"/><Relationship Id="rId19" Type="http://schemas.openxmlformats.org/officeDocument/2006/relationships/hyperlink" Target="https://humanservices.arkansas.gov/divisions-shared-services/medical-services/helpful-information-for-providers/patient-centered-medical-ho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qci.mmis.arkansas.gov/apii/login" TargetMode="External"/><Relationship Id="rId22" Type="http://schemas.openxmlformats.org/officeDocument/2006/relationships/hyperlink" Target="https://humanservices.arkansas.gov/divisions-shared-services/medical-services/helpful-information-for-providers/patient-centered-medical-home/"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D68C1D-54F0-4563-AEA8-7FC3C63726BA}">
  <ds:schemaRefs>
    <ds:schemaRef ds:uri="http://schemas.microsoft.com/sharepoint/v3/contenttype/forms"/>
  </ds:schemaRefs>
</ds:datastoreItem>
</file>

<file path=customXml/itemProps2.xml><?xml version="1.0" encoding="utf-8"?>
<ds:datastoreItem xmlns:ds="http://schemas.openxmlformats.org/officeDocument/2006/customXml" ds:itemID="{4327F29B-C511-4113-8E40-5D179B83B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34954A-D40F-409D-A192-754919887D6E}">
  <ds:schemaRefs>
    <ds:schemaRef ds:uri="http://purl.org/dc/terms/"/>
    <ds:schemaRef ds:uri="http://purl.org/dc/dcmitype/"/>
    <ds:schemaRef ds:uri="459a5397-efc8-4db4-9665-6751e9557ed9"/>
    <ds:schemaRef ds:uri="8e69ce0d-1efe-43da-bb4e-b658dcfa5055"/>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4678</Words>
  <Characters>26670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Patient-Centered Medical Home Section II</vt:lpstr>
    </vt:vector>
  </TitlesOfParts>
  <LinksUpToDate>false</LinksUpToDate>
  <CharactersWithSpaces>31286</CharactersWithSpaces>
  <SharedDoc>false</SharedDoc>
  <HyperlinkBase/>
  <HLinks>
    <vt:vector size="252" baseType="variant">
      <vt:variant>
        <vt:i4>2097175</vt:i4>
      </vt:variant>
      <vt:variant>
        <vt:i4>129</vt:i4>
      </vt:variant>
      <vt:variant>
        <vt:i4>0</vt:i4>
      </vt:variant>
      <vt:variant>
        <vt:i4>5</vt:i4>
      </vt:variant>
      <vt:variant>
        <vt:lpwstr>mailto:ARKPCMH@gainwelltechnologies.com</vt:lpwstr>
      </vt:variant>
      <vt:variant>
        <vt:lpwstr/>
      </vt:variant>
      <vt:variant>
        <vt:i4>3276817</vt:i4>
      </vt:variant>
      <vt:variant>
        <vt:i4>126</vt:i4>
      </vt:variant>
      <vt:variant>
        <vt:i4>0</vt:i4>
      </vt:variant>
      <vt:variant>
        <vt:i4>5</vt:i4>
      </vt:variant>
      <vt:variant>
        <vt:lpwstr>mailto:PCMH@AFMC.org</vt:lpwstr>
      </vt:variant>
      <vt:variant>
        <vt:lpwstr/>
      </vt:variant>
      <vt:variant>
        <vt:i4>2883688</vt:i4>
      </vt:variant>
      <vt:variant>
        <vt:i4>123</vt:i4>
      </vt:variant>
      <vt:variant>
        <vt:i4>0</vt:i4>
      </vt:variant>
      <vt:variant>
        <vt:i4>5</vt:i4>
      </vt:variant>
      <vt:variant>
        <vt:lpwstr>https://humanservices.arkansas.gov/divisions-shared-services/medical-services/helpful-information-for-providers/patient-centered-medical-home/</vt:lpwstr>
      </vt:variant>
      <vt:variant>
        <vt:lpwstr/>
      </vt:variant>
      <vt:variant>
        <vt:i4>2883688</vt:i4>
      </vt:variant>
      <vt:variant>
        <vt:i4>120</vt:i4>
      </vt:variant>
      <vt:variant>
        <vt:i4>0</vt:i4>
      </vt:variant>
      <vt:variant>
        <vt:i4>5</vt:i4>
      </vt:variant>
      <vt:variant>
        <vt:lpwstr>https://humanservices.arkansas.gov/divisions-shared-services/medical-services/helpful-information-for-providers/patient-centered-medical-home/</vt:lpwstr>
      </vt:variant>
      <vt:variant>
        <vt:lpwstr/>
      </vt:variant>
      <vt:variant>
        <vt:i4>2883688</vt:i4>
      </vt:variant>
      <vt:variant>
        <vt:i4>117</vt:i4>
      </vt:variant>
      <vt:variant>
        <vt:i4>0</vt:i4>
      </vt:variant>
      <vt:variant>
        <vt:i4>5</vt:i4>
      </vt:variant>
      <vt:variant>
        <vt:lpwstr>https://humanservices.arkansas.gov/divisions-shared-services/medical-services/helpful-information-for-providers/patient-centered-medical-home/</vt:lpwstr>
      </vt:variant>
      <vt:variant>
        <vt:lpwstr/>
      </vt:variant>
      <vt:variant>
        <vt:i4>2883688</vt:i4>
      </vt:variant>
      <vt:variant>
        <vt:i4>114</vt:i4>
      </vt:variant>
      <vt:variant>
        <vt:i4>0</vt:i4>
      </vt:variant>
      <vt:variant>
        <vt:i4>5</vt:i4>
      </vt:variant>
      <vt:variant>
        <vt:lpwstr>https://humanservices.arkansas.gov/divisions-shared-services/medical-services/helpful-information-for-providers/patient-centered-medical-home/</vt:lpwstr>
      </vt:variant>
      <vt:variant>
        <vt:lpwstr/>
      </vt:variant>
      <vt:variant>
        <vt:i4>2883688</vt:i4>
      </vt:variant>
      <vt:variant>
        <vt:i4>111</vt:i4>
      </vt:variant>
      <vt:variant>
        <vt:i4>0</vt:i4>
      </vt:variant>
      <vt:variant>
        <vt:i4>5</vt:i4>
      </vt:variant>
      <vt:variant>
        <vt:lpwstr>https://humanservices.arkansas.gov/divisions-shared-services/medical-services/helpful-information-for-providers/patient-centered-medical-home/</vt:lpwstr>
      </vt:variant>
      <vt:variant>
        <vt:lpwstr/>
      </vt:variant>
      <vt:variant>
        <vt:i4>2883688</vt:i4>
      </vt:variant>
      <vt:variant>
        <vt:i4>108</vt:i4>
      </vt:variant>
      <vt:variant>
        <vt:i4>0</vt:i4>
      </vt:variant>
      <vt:variant>
        <vt:i4>5</vt:i4>
      </vt:variant>
      <vt:variant>
        <vt:lpwstr>https://humanservices.arkansas.gov/divisions-shared-services/medical-services/helpful-information-for-providers/patient-centered-medical-home/</vt:lpwstr>
      </vt:variant>
      <vt:variant>
        <vt:lpwstr/>
      </vt:variant>
      <vt:variant>
        <vt:i4>2687088</vt:i4>
      </vt:variant>
      <vt:variant>
        <vt:i4>105</vt:i4>
      </vt:variant>
      <vt:variant>
        <vt:i4>0</vt:i4>
      </vt:variant>
      <vt:variant>
        <vt:i4>5</vt:i4>
      </vt:variant>
      <vt:variant>
        <vt:lpwstr>https://qci.mmis.arkansas.gov/</vt:lpwstr>
      </vt:variant>
      <vt:variant>
        <vt:lpwstr/>
      </vt:variant>
      <vt:variant>
        <vt:i4>6422640</vt:i4>
      </vt:variant>
      <vt:variant>
        <vt:i4>102</vt:i4>
      </vt:variant>
      <vt:variant>
        <vt:i4>0</vt:i4>
      </vt:variant>
      <vt:variant>
        <vt:i4>5</vt:i4>
      </vt:variant>
      <vt:variant>
        <vt:lpwstr>mailto:</vt:lpwstr>
      </vt:variant>
      <vt:variant>
        <vt:lpwstr/>
      </vt:variant>
      <vt:variant>
        <vt:i4>2097175</vt:i4>
      </vt:variant>
      <vt:variant>
        <vt:i4>99</vt:i4>
      </vt:variant>
      <vt:variant>
        <vt:i4>0</vt:i4>
      </vt:variant>
      <vt:variant>
        <vt:i4>5</vt:i4>
      </vt:variant>
      <vt:variant>
        <vt:lpwstr>mailto:ARKPCMH@gainwelltechnologies.com</vt:lpwstr>
      </vt:variant>
      <vt:variant>
        <vt:lpwstr/>
      </vt:variant>
      <vt:variant>
        <vt:i4>2883688</vt:i4>
      </vt:variant>
      <vt:variant>
        <vt:i4>96</vt:i4>
      </vt:variant>
      <vt:variant>
        <vt:i4>0</vt:i4>
      </vt:variant>
      <vt:variant>
        <vt:i4>5</vt:i4>
      </vt:variant>
      <vt:variant>
        <vt:lpwstr>https://humanservices.arkansas.gov/divisions-shared-services/medical-services/helpful-information-for-providers/patient-centered-medical-home/</vt:lpwstr>
      </vt:variant>
      <vt:variant>
        <vt:lpwstr/>
      </vt:variant>
      <vt:variant>
        <vt:i4>2883688</vt:i4>
      </vt:variant>
      <vt:variant>
        <vt:i4>93</vt:i4>
      </vt:variant>
      <vt:variant>
        <vt:i4>0</vt:i4>
      </vt:variant>
      <vt:variant>
        <vt:i4>5</vt:i4>
      </vt:variant>
      <vt:variant>
        <vt:lpwstr>https://humanservices.arkansas.gov/divisions-shared-services/medical-services/helpful-information-for-providers/patient-centered-medical-home/</vt:lpwstr>
      </vt:variant>
      <vt:variant>
        <vt:lpwstr/>
      </vt:variant>
      <vt:variant>
        <vt:i4>2687088</vt:i4>
      </vt:variant>
      <vt:variant>
        <vt:i4>87</vt:i4>
      </vt:variant>
      <vt:variant>
        <vt:i4>0</vt:i4>
      </vt:variant>
      <vt:variant>
        <vt:i4>5</vt:i4>
      </vt:variant>
      <vt:variant>
        <vt:lpwstr>https://qci.mmis.arkansas.gov/</vt:lpwstr>
      </vt:variant>
      <vt:variant>
        <vt:lpwstr/>
      </vt:variant>
      <vt:variant>
        <vt:i4>2097175</vt:i4>
      </vt:variant>
      <vt:variant>
        <vt:i4>84</vt:i4>
      </vt:variant>
      <vt:variant>
        <vt:i4>0</vt:i4>
      </vt:variant>
      <vt:variant>
        <vt:i4>5</vt:i4>
      </vt:variant>
      <vt:variant>
        <vt:lpwstr>mailto:ARKPCMH@gainwelltechnologies.com</vt:lpwstr>
      </vt:variant>
      <vt:variant>
        <vt:lpwstr/>
      </vt:variant>
      <vt:variant>
        <vt:i4>2097175</vt:i4>
      </vt:variant>
      <vt:variant>
        <vt:i4>81</vt:i4>
      </vt:variant>
      <vt:variant>
        <vt:i4>0</vt:i4>
      </vt:variant>
      <vt:variant>
        <vt:i4>5</vt:i4>
      </vt:variant>
      <vt:variant>
        <vt:lpwstr>mailto:ARKPCMH@gainwelltechnologies.com</vt:lpwstr>
      </vt:variant>
      <vt:variant>
        <vt:lpwstr/>
      </vt:variant>
      <vt:variant>
        <vt:i4>2687088</vt:i4>
      </vt:variant>
      <vt:variant>
        <vt:i4>78</vt:i4>
      </vt:variant>
      <vt:variant>
        <vt:i4>0</vt:i4>
      </vt:variant>
      <vt:variant>
        <vt:i4>5</vt:i4>
      </vt:variant>
      <vt:variant>
        <vt:lpwstr>https://qci.mmis.arkansas.gov/</vt:lpwstr>
      </vt:variant>
      <vt:variant>
        <vt:lpwstr/>
      </vt:variant>
      <vt:variant>
        <vt:i4>2883688</vt:i4>
      </vt:variant>
      <vt:variant>
        <vt:i4>75</vt:i4>
      </vt:variant>
      <vt:variant>
        <vt:i4>0</vt:i4>
      </vt:variant>
      <vt:variant>
        <vt:i4>5</vt:i4>
      </vt:variant>
      <vt:variant>
        <vt:lpwstr>https://humanservices.arkansas.gov/divisions-shared-services/medical-services/helpful-information-for-providers/patient-centered-medical-home/</vt:lpwstr>
      </vt:variant>
      <vt:variant>
        <vt:lpwstr/>
      </vt:variant>
      <vt:variant>
        <vt:i4>65617</vt:i4>
      </vt:variant>
      <vt:variant>
        <vt:i4>72</vt:i4>
      </vt:variant>
      <vt:variant>
        <vt:i4>0</vt:i4>
      </vt:variant>
      <vt:variant>
        <vt:i4>5</vt:i4>
      </vt:variant>
      <vt:variant>
        <vt:lpwstr>http://ohit.arkansas.gov/</vt:lpwstr>
      </vt:variant>
      <vt:variant>
        <vt:lpwstr/>
      </vt:variant>
      <vt:variant>
        <vt:i4>1966128</vt:i4>
      </vt:variant>
      <vt:variant>
        <vt:i4>68</vt:i4>
      </vt:variant>
      <vt:variant>
        <vt:i4>0</vt:i4>
      </vt:variant>
      <vt:variant>
        <vt:i4>5</vt:i4>
      </vt:variant>
      <vt:variant>
        <vt:lpwstr/>
      </vt:variant>
      <vt:variant>
        <vt:lpwstr>_Toc78207829</vt:lpwstr>
      </vt:variant>
      <vt:variant>
        <vt:i4>2031664</vt:i4>
      </vt:variant>
      <vt:variant>
        <vt:i4>65</vt:i4>
      </vt:variant>
      <vt:variant>
        <vt:i4>0</vt:i4>
      </vt:variant>
      <vt:variant>
        <vt:i4>5</vt:i4>
      </vt:variant>
      <vt:variant>
        <vt:lpwstr/>
      </vt:variant>
      <vt:variant>
        <vt:lpwstr>_Toc78207828</vt:lpwstr>
      </vt:variant>
      <vt:variant>
        <vt:i4>1048624</vt:i4>
      </vt:variant>
      <vt:variant>
        <vt:i4>62</vt:i4>
      </vt:variant>
      <vt:variant>
        <vt:i4>0</vt:i4>
      </vt:variant>
      <vt:variant>
        <vt:i4>5</vt:i4>
      </vt:variant>
      <vt:variant>
        <vt:lpwstr/>
      </vt:variant>
      <vt:variant>
        <vt:lpwstr>_Toc78207827</vt:lpwstr>
      </vt:variant>
      <vt:variant>
        <vt:i4>1114160</vt:i4>
      </vt:variant>
      <vt:variant>
        <vt:i4>59</vt:i4>
      </vt:variant>
      <vt:variant>
        <vt:i4>0</vt:i4>
      </vt:variant>
      <vt:variant>
        <vt:i4>5</vt:i4>
      </vt:variant>
      <vt:variant>
        <vt:lpwstr/>
      </vt:variant>
      <vt:variant>
        <vt:lpwstr>_Toc78207826</vt:lpwstr>
      </vt:variant>
      <vt:variant>
        <vt:i4>1179696</vt:i4>
      </vt:variant>
      <vt:variant>
        <vt:i4>56</vt:i4>
      </vt:variant>
      <vt:variant>
        <vt:i4>0</vt:i4>
      </vt:variant>
      <vt:variant>
        <vt:i4>5</vt:i4>
      </vt:variant>
      <vt:variant>
        <vt:lpwstr/>
      </vt:variant>
      <vt:variant>
        <vt:lpwstr>_Toc78207825</vt:lpwstr>
      </vt:variant>
      <vt:variant>
        <vt:i4>1245232</vt:i4>
      </vt:variant>
      <vt:variant>
        <vt:i4>53</vt:i4>
      </vt:variant>
      <vt:variant>
        <vt:i4>0</vt:i4>
      </vt:variant>
      <vt:variant>
        <vt:i4>5</vt:i4>
      </vt:variant>
      <vt:variant>
        <vt:lpwstr/>
      </vt:variant>
      <vt:variant>
        <vt:lpwstr>_Toc78207824</vt:lpwstr>
      </vt:variant>
      <vt:variant>
        <vt:i4>1310768</vt:i4>
      </vt:variant>
      <vt:variant>
        <vt:i4>50</vt:i4>
      </vt:variant>
      <vt:variant>
        <vt:i4>0</vt:i4>
      </vt:variant>
      <vt:variant>
        <vt:i4>5</vt:i4>
      </vt:variant>
      <vt:variant>
        <vt:lpwstr/>
      </vt:variant>
      <vt:variant>
        <vt:lpwstr>_Toc78207823</vt:lpwstr>
      </vt:variant>
      <vt:variant>
        <vt:i4>1376304</vt:i4>
      </vt:variant>
      <vt:variant>
        <vt:i4>47</vt:i4>
      </vt:variant>
      <vt:variant>
        <vt:i4>0</vt:i4>
      </vt:variant>
      <vt:variant>
        <vt:i4>5</vt:i4>
      </vt:variant>
      <vt:variant>
        <vt:lpwstr/>
      </vt:variant>
      <vt:variant>
        <vt:lpwstr>_Toc78207822</vt:lpwstr>
      </vt:variant>
      <vt:variant>
        <vt:i4>1441840</vt:i4>
      </vt:variant>
      <vt:variant>
        <vt:i4>44</vt:i4>
      </vt:variant>
      <vt:variant>
        <vt:i4>0</vt:i4>
      </vt:variant>
      <vt:variant>
        <vt:i4>5</vt:i4>
      </vt:variant>
      <vt:variant>
        <vt:lpwstr/>
      </vt:variant>
      <vt:variant>
        <vt:lpwstr>_Toc78207821</vt:lpwstr>
      </vt:variant>
      <vt:variant>
        <vt:i4>1507376</vt:i4>
      </vt:variant>
      <vt:variant>
        <vt:i4>41</vt:i4>
      </vt:variant>
      <vt:variant>
        <vt:i4>0</vt:i4>
      </vt:variant>
      <vt:variant>
        <vt:i4>5</vt:i4>
      </vt:variant>
      <vt:variant>
        <vt:lpwstr/>
      </vt:variant>
      <vt:variant>
        <vt:lpwstr>_Toc78207820</vt:lpwstr>
      </vt:variant>
      <vt:variant>
        <vt:i4>1966131</vt:i4>
      </vt:variant>
      <vt:variant>
        <vt:i4>38</vt:i4>
      </vt:variant>
      <vt:variant>
        <vt:i4>0</vt:i4>
      </vt:variant>
      <vt:variant>
        <vt:i4>5</vt:i4>
      </vt:variant>
      <vt:variant>
        <vt:lpwstr/>
      </vt:variant>
      <vt:variant>
        <vt:lpwstr>_Toc78207819</vt:lpwstr>
      </vt:variant>
      <vt:variant>
        <vt:i4>2031667</vt:i4>
      </vt:variant>
      <vt:variant>
        <vt:i4>35</vt:i4>
      </vt:variant>
      <vt:variant>
        <vt:i4>0</vt:i4>
      </vt:variant>
      <vt:variant>
        <vt:i4>5</vt:i4>
      </vt:variant>
      <vt:variant>
        <vt:lpwstr/>
      </vt:variant>
      <vt:variant>
        <vt:lpwstr>_Toc78207818</vt:lpwstr>
      </vt:variant>
      <vt:variant>
        <vt:i4>1048627</vt:i4>
      </vt:variant>
      <vt:variant>
        <vt:i4>32</vt:i4>
      </vt:variant>
      <vt:variant>
        <vt:i4>0</vt:i4>
      </vt:variant>
      <vt:variant>
        <vt:i4>5</vt:i4>
      </vt:variant>
      <vt:variant>
        <vt:lpwstr/>
      </vt:variant>
      <vt:variant>
        <vt:lpwstr>_Toc78207817</vt:lpwstr>
      </vt:variant>
      <vt:variant>
        <vt:i4>1114163</vt:i4>
      </vt:variant>
      <vt:variant>
        <vt:i4>29</vt:i4>
      </vt:variant>
      <vt:variant>
        <vt:i4>0</vt:i4>
      </vt:variant>
      <vt:variant>
        <vt:i4>5</vt:i4>
      </vt:variant>
      <vt:variant>
        <vt:lpwstr/>
      </vt:variant>
      <vt:variant>
        <vt:lpwstr>_Toc78207816</vt:lpwstr>
      </vt:variant>
      <vt:variant>
        <vt:i4>1179699</vt:i4>
      </vt:variant>
      <vt:variant>
        <vt:i4>26</vt:i4>
      </vt:variant>
      <vt:variant>
        <vt:i4>0</vt:i4>
      </vt:variant>
      <vt:variant>
        <vt:i4>5</vt:i4>
      </vt:variant>
      <vt:variant>
        <vt:lpwstr/>
      </vt:variant>
      <vt:variant>
        <vt:lpwstr>_Toc78207815</vt:lpwstr>
      </vt:variant>
      <vt:variant>
        <vt:i4>1245235</vt:i4>
      </vt:variant>
      <vt:variant>
        <vt:i4>23</vt:i4>
      </vt:variant>
      <vt:variant>
        <vt:i4>0</vt:i4>
      </vt:variant>
      <vt:variant>
        <vt:i4>5</vt:i4>
      </vt:variant>
      <vt:variant>
        <vt:lpwstr/>
      </vt:variant>
      <vt:variant>
        <vt:lpwstr>_Toc78207814</vt:lpwstr>
      </vt:variant>
      <vt:variant>
        <vt:i4>1310771</vt:i4>
      </vt:variant>
      <vt:variant>
        <vt:i4>20</vt:i4>
      </vt:variant>
      <vt:variant>
        <vt:i4>0</vt:i4>
      </vt:variant>
      <vt:variant>
        <vt:i4>5</vt:i4>
      </vt:variant>
      <vt:variant>
        <vt:lpwstr/>
      </vt:variant>
      <vt:variant>
        <vt:lpwstr>_Toc78207813</vt:lpwstr>
      </vt:variant>
      <vt:variant>
        <vt:i4>1376307</vt:i4>
      </vt:variant>
      <vt:variant>
        <vt:i4>17</vt:i4>
      </vt:variant>
      <vt:variant>
        <vt:i4>0</vt:i4>
      </vt:variant>
      <vt:variant>
        <vt:i4>5</vt:i4>
      </vt:variant>
      <vt:variant>
        <vt:lpwstr/>
      </vt:variant>
      <vt:variant>
        <vt:lpwstr>_Toc78207812</vt:lpwstr>
      </vt:variant>
      <vt:variant>
        <vt:i4>1441843</vt:i4>
      </vt:variant>
      <vt:variant>
        <vt:i4>14</vt:i4>
      </vt:variant>
      <vt:variant>
        <vt:i4>0</vt:i4>
      </vt:variant>
      <vt:variant>
        <vt:i4>5</vt:i4>
      </vt:variant>
      <vt:variant>
        <vt:lpwstr/>
      </vt:variant>
      <vt:variant>
        <vt:lpwstr>_Toc78207811</vt:lpwstr>
      </vt:variant>
      <vt:variant>
        <vt:i4>1507379</vt:i4>
      </vt:variant>
      <vt:variant>
        <vt:i4>11</vt:i4>
      </vt:variant>
      <vt:variant>
        <vt:i4>0</vt:i4>
      </vt:variant>
      <vt:variant>
        <vt:i4>5</vt:i4>
      </vt:variant>
      <vt:variant>
        <vt:lpwstr/>
      </vt:variant>
      <vt:variant>
        <vt:lpwstr>_Toc78207810</vt:lpwstr>
      </vt:variant>
      <vt:variant>
        <vt:i4>1966130</vt:i4>
      </vt:variant>
      <vt:variant>
        <vt:i4>8</vt:i4>
      </vt:variant>
      <vt:variant>
        <vt:i4>0</vt:i4>
      </vt:variant>
      <vt:variant>
        <vt:i4>5</vt:i4>
      </vt:variant>
      <vt:variant>
        <vt:lpwstr/>
      </vt:variant>
      <vt:variant>
        <vt:lpwstr>_Toc78207809</vt:lpwstr>
      </vt:variant>
      <vt:variant>
        <vt:i4>2031666</vt:i4>
      </vt:variant>
      <vt:variant>
        <vt:i4>5</vt:i4>
      </vt:variant>
      <vt:variant>
        <vt:i4>0</vt:i4>
      </vt:variant>
      <vt:variant>
        <vt:i4>5</vt:i4>
      </vt:variant>
      <vt:variant>
        <vt:lpwstr/>
      </vt:variant>
      <vt:variant>
        <vt:lpwstr>_Toc78207808</vt:lpwstr>
      </vt:variant>
      <vt:variant>
        <vt:i4>1048626</vt:i4>
      </vt:variant>
      <vt:variant>
        <vt:i4>2</vt:i4>
      </vt:variant>
      <vt:variant>
        <vt:i4>0</vt:i4>
      </vt:variant>
      <vt:variant>
        <vt:i4>5</vt:i4>
      </vt:variant>
      <vt:variant>
        <vt:lpwstr/>
      </vt:variant>
      <vt:variant>
        <vt:lpwstr>_Toc78207807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Patient-Centered Medical Home Section II</dc:title>
  <dc:subject/>
  <dc:creator/>
  <cp:keywords/>
  <cp:lastModifiedBy/>
  <cp:revision>1</cp:revision>
  <dcterms:created xsi:type="dcterms:W3CDTF">2025-05-27T18:20:00Z</dcterms:created>
  <dcterms:modified xsi:type="dcterms:W3CDTF">2025-05-27T18:20:00Z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0x010100582257B5365C244BAAC629BD9C2E8D96</vt:lpwstr>
  </property>
</Properties>
</file>